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621B7D" w:rsidP="00170712">
      <w:pPr>
        <w:spacing w:after="0" w:line="240" w:lineRule="auto"/>
        <w:rPr>
          <w:rFonts w:cs="Arial"/>
          <w:sz w:val="20"/>
          <w:szCs w:val="20"/>
        </w:rPr>
      </w:pPr>
      <w:r>
        <w:rPr>
          <w:rFonts w:cs="Arial"/>
          <w:sz w:val="20"/>
          <w:szCs w:val="20"/>
        </w:rPr>
        <w:t xml:space="preserve">OIB: </w:t>
      </w:r>
      <w:r w:rsidR="00170712" w:rsidRPr="008413DB">
        <w:rPr>
          <w:rFonts w:cs="Arial"/>
          <w:sz w:val="20"/>
          <w:szCs w:val="20"/>
        </w:rPr>
        <w:t>03363221827</w:t>
      </w:r>
    </w:p>
    <w:p w:rsidR="00170712" w:rsidRPr="008413DB" w:rsidRDefault="00170712" w:rsidP="00170712">
      <w:pPr>
        <w:spacing w:after="0" w:line="240" w:lineRule="auto"/>
        <w:rPr>
          <w:rFonts w:cs="Arial"/>
          <w:sz w:val="20"/>
          <w:szCs w:val="20"/>
        </w:rPr>
      </w:pPr>
    </w:p>
    <w:p w:rsidR="00170712" w:rsidRDefault="00170712" w:rsidP="00170712">
      <w:pPr>
        <w:spacing w:after="0" w:line="240" w:lineRule="auto"/>
        <w:rPr>
          <w:rFonts w:cs="Arial"/>
          <w:sz w:val="20"/>
          <w:szCs w:val="20"/>
        </w:rPr>
      </w:pPr>
      <w:r w:rsidRPr="008413DB">
        <w:rPr>
          <w:rFonts w:cs="Arial"/>
          <w:sz w:val="20"/>
          <w:szCs w:val="20"/>
        </w:rPr>
        <w:t>Na temelju članka 2</w:t>
      </w:r>
      <w:r w:rsidR="00621B7D">
        <w:rPr>
          <w:rFonts w:cs="Arial"/>
          <w:sz w:val="20"/>
          <w:szCs w:val="20"/>
        </w:rPr>
        <w:t>8</w:t>
      </w:r>
      <w:r w:rsidRPr="008413DB">
        <w:rPr>
          <w:rFonts w:cs="Arial"/>
          <w:sz w:val="20"/>
          <w:szCs w:val="20"/>
        </w:rPr>
        <w:t xml:space="preserve">. Zakona o javnoj nabavi (Narodne novine, broj </w:t>
      </w:r>
      <w:r w:rsidR="00621B7D">
        <w:rPr>
          <w:rFonts w:cs="Arial"/>
          <w:sz w:val="20"/>
          <w:szCs w:val="20"/>
        </w:rPr>
        <w:t>120/16</w:t>
      </w:r>
      <w:r w:rsidRPr="008413DB">
        <w:rPr>
          <w:rFonts w:cs="Arial"/>
          <w:sz w:val="20"/>
          <w:szCs w:val="20"/>
        </w:rPr>
        <w:t>) naručitelj vodi:</w:t>
      </w:r>
    </w:p>
    <w:p w:rsidR="00621B7D" w:rsidRPr="008413DB" w:rsidRDefault="00621B7D" w:rsidP="00170712">
      <w:pPr>
        <w:spacing w:after="0" w:line="240" w:lineRule="auto"/>
        <w:rPr>
          <w:rFonts w:cs="Arial"/>
          <w:sz w:val="20"/>
          <w:szCs w:val="20"/>
        </w:rPr>
      </w:pP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w:t>
      </w:r>
      <w:r w:rsidR="00621B7D">
        <w:rPr>
          <w:rFonts w:cs="Arial"/>
          <w:b/>
          <w:caps/>
          <w:sz w:val="28"/>
          <w:szCs w:val="28"/>
        </w:rPr>
        <w:t>2</w:t>
      </w:r>
      <w:r w:rsidR="0083255D">
        <w:rPr>
          <w:rFonts w:cs="Arial"/>
          <w:b/>
          <w:caps/>
          <w:sz w:val="28"/>
          <w:szCs w:val="28"/>
        </w:rPr>
        <w:t>4</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3571"/>
        <w:tblW w:w="5000" w:type="pct"/>
        <w:tblLook w:val="04A0" w:firstRow="1" w:lastRow="0" w:firstColumn="1" w:lastColumn="0" w:noHBand="0" w:noVBand="1"/>
      </w:tblPr>
      <w:tblGrid>
        <w:gridCol w:w="727"/>
        <w:gridCol w:w="2039"/>
        <w:gridCol w:w="2049"/>
        <w:gridCol w:w="1311"/>
        <w:gridCol w:w="1311"/>
        <w:gridCol w:w="1311"/>
        <w:gridCol w:w="1311"/>
        <w:gridCol w:w="1314"/>
        <w:gridCol w:w="1314"/>
        <w:gridCol w:w="1314"/>
        <w:gridCol w:w="1387"/>
      </w:tblGrid>
      <w:tr w:rsidR="00B21D3A" w:rsidRPr="008413DB" w:rsidTr="00621B7D">
        <w:trPr>
          <w:trHeight w:val="683"/>
        </w:trPr>
        <w:tc>
          <w:tcPr>
            <w:tcW w:w="5000" w:type="pct"/>
            <w:gridSpan w:val="11"/>
            <w:vAlign w:val="center"/>
          </w:tcPr>
          <w:p w:rsidR="00B21D3A" w:rsidRPr="008413DB" w:rsidRDefault="00B21D3A" w:rsidP="00621B7D">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621B7D">
        <w:trPr>
          <w:trHeight w:val="1696"/>
        </w:trPr>
        <w:tc>
          <w:tcPr>
            <w:tcW w:w="236" w:type="pct"/>
            <w:vAlign w:val="center"/>
          </w:tcPr>
          <w:p w:rsidR="00B21D3A" w:rsidRPr="008413DB" w:rsidRDefault="00B21D3A" w:rsidP="00621B7D">
            <w:pPr>
              <w:jc w:val="center"/>
              <w:rPr>
                <w:rFonts w:cs="Arial"/>
              </w:rPr>
            </w:pPr>
            <w:r w:rsidRPr="008413DB">
              <w:rPr>
                <w:rFonts w:cs="Arial"/>
              </w:rPr>
              <w:t>Redni broj</w:t>
            </w:r>
          </w:p>
        </w:tc>
        <w:tc>
          <w:tcPr>
            <w:tcW w:w="663" w:type="pct"/>
            <w:vAlign w:val="center"/>
          </w:tcPr>
          <w:p w:rsidR="00B21D3A" w:rsidRPr="008413DB" w:rsidRDefault="00B21D3A" w:rsidP="00621B7D">
            <w:pPr>
              <w:jc w:val="center"/>
              <w:rPr>
                <w:rFonts w:cs="Arial"/>
              </w:rPr>
            </w:pPr>
            <w:r w:rsidRPr="008413DB">
              <w:rPr>
                <w:rFonts w:cs="Arial"/>
              </w:rPr>
              <w:t>Predmet ugovora</w:t>
            </w:r>
          </w:p>
        </w:tc>
        <w:tc>
          <w:tcPr>
            <w:tcW w:w="666" w:type="pct"/>
            <w:vAlign w:val="center"/>
          </w:tcPr>
          <w:p w:rsidR="00B21D3A" w:rsidRPr="008413DB" w:rsidRDefault="00B21D3A" w:rsidP="00621B7D">
            <w:pPr>
              <w:jc w:val="center"/>
              <w:rPr>
                <w:rFonts w:cs="Arial"/>
              </w:rPr>
            </w:pPr>
            <w:r w:rsidRPr="008413DB">
              <w:rPr>
                <w:rFonts w:cs="Arial"/>
              </w:rPr>
              <w:t xml:space="preserve">Broj objave i evidencijski broj nabave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Vrsta provedenog postupka javne nabave</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Iznos sklopljenog ugovora o javnoj nabavi </w:t>
            </w:r>
          </w:p>
          <w:p w:rsidR="00B21D3A" w:rsidRPr="008413DB" w:rsidRDefault="00B21D3A" w:rsidP="00621B7D">
            <w:pPr>
              <w:jc w:val="center"/>
              <w:rPr>
                <w:rFonts w:cs="Arial"/>
              </w:rPr>
            </w:pPr>
            <w:r w:rsidRPr="008413DB">
              <w:rPr>
                <w:rFonts w:cs="Arial"/>
              </w:rPr>
              <w:t>[kn]</w:t>
            </w: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7" w:type="pct"/>
            <w:vAlign w:val="center"/>
          </w:tcPr>
          <w:p w:rsidR="00B21D3A" w:rsidRPr="008413DB" w:rsidRDefault="00B21D3A" w:rsidP="00621B7D">
            <w:pPr>
              <w:jc w:val="center"/>
              <w:rPr>
                <w:rFonts w:cs="Arial"/>
              </w:rPr>
            </w:pPr>
            <w:r w:rsidRPr="008413DB">
              <w:rPr>
                <w:rFonts w:cs="Arial"/>
              </w:rPr>
              <w:t>Naziv ponuditelja s kojim je sklopljen ugovor o javnoj nabavi</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datum izvršenja ugovora</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621B7D">
            <w:pPr>
              <w:jc w:val="center"/>
              <w:rPr>
                <w:rFonts w:eastAsia="Times New Roman" w:cs="Arial"/>
              </w:rPr>
            </w:pPr>
            <w:r w:rsidRPr="008413DB">
              <w:rPr>
                <w:rFonts w:eastAsia="Times New Roman" w:cs="Arial"/>
              </w:rPr>
              <w:t>[kn]</w:t>
            </w:r>
          </w:p>
        </w:tc>
        <w:tc>
          <w:tcPr>
            <w:tcW w:w="451" w:type="pct"/>
            <w:vAlign w:val="center"/>
          </w:tcPr>
          <w:p w:rsidR="00B21D3A" w:rsidRPr="008413DB" w:rsidRDefault="00B21D3A" w:rsidP="00621B7D">
            <w:pPr>
              <w:jc w:val="center"/>
              <w:rPr>
                <w:rFonts w:eastAsia="Times New Roman" w:cs="Arial"/>
              </w:rPr>
            </w:pPr>
            <w:r w:rsidRPr="008413DB">
              <w:rPr>
                <w:rFonts w:eastAsia="Times New Roman" w:cs="Arial"/>
              </w:rPr>
              <w:t>Obrazloženje ako je konačni iznos veći od ugovorenog</w:t>
            </w:r>
          </w:p>
        </w:tc>
      </w:tr>
      <w:tr w:rsidR="000C25FC" w:rsidRPr="008413DB" w:rsidTr="00621B7D">
        <w:trPr>
          <w:trHeight w:val="145"/>
        </w:trPr>
        <w:tc>
          <w:tcPr>
            <w:tcW w:w="236" w:type="pct"/>
            <w:vAlign w:val="center"/>
          </w:tcPr>
          <w:p w:rsidR="00B21D3A" w:rsidRPr="008413DB" w:rsidRDefault="00B21D3A" w:rsidP="00621B7D">
            <w:pPr>
              <w:jc w:val="center"/>
              <w:rPr>
                <w:rFonts w:cs="Arial"/>
                <w:b/>
                <w:sz w:val="14"/>
                <w:szCs w:val="14"/>
              </w:rPr>
            </w:pPr>
            <w:r w:rsidRPr="008413DB">
              <w:rPr>
                <w:rFonts w:cs="Arial"/>
                <w:b/>
                <w:sz w:val="14"/>
                <w:szCs w:val="14"/>
              </w:rPr>
              <w:t>1</w:t>
            </w:r>
          </w:p>
        </w:tc>
        <w:tc>
          <w:tcPr>
            <w:tcW w:w="663" w:type="pct"/>
            <w:vAlign w:val="center"/>
          </w:tcPr>
          <w:p w:rsidR="00B21D3A" w:rsidRPr="008413DB" w:rsidRDefault="00B21D3A" w:rsidP="00621B7D">
            <w:pPr>
              <w:jc w:val="center"/>
              <w:rPr>
                <w:rFonts w:cs="Arial"/>
                <w:b/>
                <w:sz w:val="14"/>
                <w:szCs w:val="14"/>
              </w:rPr>
            </w:pPr>
            <w:r w:rsidRPr="008413DB">
              <w:rPr>
                <w:rFonts w:cs="Arial"/>
                <w:b/>
                <w:sz w:val="14"/>
                <w:szCs w:val="14"/>
              </w:rPr>
              <w:t>2</w:t>
            </w:r>
          </w:p>
        </w:tc>
        <w:tc>
          <w:tcPr>
            <w:tcW w:w="666" w:type="pct"/>
            <w:vAlign w:val="center"/>
          </w:tcPr>
          <w:p w:rsidR="00B21D3A" w:rsidRPr="008413DB" w:rsidRDefault="00B21D3A" w:rsidP="00621B7D">
            <w:pPr>
              <w:jc w:val="center"/>
              <w:rPr>
                <w:rFonts w:cs="Arial"/>
                <w:b/>
                <w:sz w:val="14"/>
                <w:szCs w:val="14"/>
              </w:rPr>
            </w:pPr>
            <w:r w:rsidRPr="008413DB">
              <w:rPr>
                <w:rFonts w:cs="Arial"/>
                <w:b/>
                <w:sz w:val="14"/>
                <w:szCs w:val="14"/>
              </w:rPr>
              <w:t>3</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4</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5</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6</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7</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8</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9</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10</w:t>
            </w:r>
          </w:p>
        </w:tc>
        <w:tc>
          <w:tcPr>
            <w:tcW w:w="451" w:type="pct"/>
            <w:vAlign w:val="center"/>
          </w:tcPr>
          <w:p w:rsidR="00B21D3A" w:rsidRPr="008413DB" w:rsidRDefault="00B21D3A" w:rsidP="00621B7D">
            <w:pPr>
              <w:jc w:val="center"/>
              <w:rPr>
                <w:rFonts w:cs="Arial"/>
                <w:b/>
                <w:sz w:val="14"/>
                <w:szCs w:val="14"/>
              </w:rPr>
            </w:pPr>
            <w:r w:rsidRPr="008413DB">
              <w:rPr>
                <w:rFonts w:cs="Arial"/>
                <w:b/>
                <w:sz w:val="14"/>
                <w:szCs w:val="14"/>
              </w:rPr>
              <w:t>11</w:t>
            </w:r>
          </w:p>
        </w:tc>
      </w:tr>
      <w:tr w:rsidR="000C25FC" w:rsidRPr="008413DB" w:rsidTr="00621B7D">
        <w:trPr>
          <w:trHeight w:val="652"/>
        </w:trPr>
        <w:tc>
          <w:tcPr>
            <w:tcW w:w="236" w:type="pct"/>
            <w:vAlign w:val="center"/>
          </w:tcPr>
          <w:p w:rsidR="00B21D3A" w:rsidRPr="008413DB" w:rsidRDefault="00B21D3A" w:rsidP="00621B7D">
            <w:pPr>
              <w:jc w:val="center"/>
              <w:rPr>
                <w:rFonts w:cs="Arial"/>
                <w:i/>
              </w:rPr>
            </w:pPr>
            <w:r w:rsidRPr="008413DB">
              <w:rPr>
                <w:rFonts w:cs="Arial"/>
                <w:i/>
              </w:rPr>
              <w:t>1</w:t>
            </w:r>
          </w:p>
        </w:tc>
        <w:tc>
          <w:tcPr>
            <w:tcW w:w="663" w:type="pct"/>
            <w:vAlign w:val="center"/>
          </w:tcPr>
          <w:p w:rsidR="00B21D3A" w:rsidRPr="00653303" w:rsidRDefault="00B21D3A" w:rsidP="00621B7D">
            <w:pPr>
              <w:rPr>
                <w:rFonts w:cs="Arial"/>
                <w:sz w:val="20"/>
                <w:szCs w:val="20"/>
              </w:rPr>
            </w:pPr>
          </w:p>
        </w:tc>
        <w:tc>
          <w:tcPr>
            <w:tcW w:w="66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2626AA" w:rsidRPr="00653303" w:rsidRDefault="002626A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953B58" w:rsidRDefault="00B21D3A" w:rsidP="00621B7D">
            <w:pPr>
              <w:jc w:val="center"/>
              <w:rPr>
                <w:rFonts w:cs="Arial"/>
                <w:sz w:val="18"/>
                <w:szCs w:val="18"/>
              </w:rPr>
            </w:pPr>
          </w:p>
        </w:tc>
      </w:tr>
      <w:tr w:rsidR="000C25FC" w:rsidRPr="008413DB" w:rsidTr="00621B7D">
        <w:trPr>
          <w:trHeight w:val="245"/>
        </w:trPr>
        <w:tc>
          <w:tcPr>
            <w:tcW w:w="236" w:type="pct"/>
            <w:vAlign w:val="center"/>
          </w:tcPr>
          <w:p w:rsidR="00B21D3A" w:rsidRPr="008413DB" w:rsidRDefault="00B21D3A" w:rsidP="00621B7D">
            <w:pPr>
              <w:jc w:val="center"/>
              <w:rPr>
                <w:rFonts w:cs="Arial"/>
                <w:i/>
              </w:rPr>
            </w:pPr>
            <w:r>
              <w:rPr>
                <w:rFonts w:cs="Arial"/>
                <w:i/>
              </w:rPr>
              <w:t>2</w:t>
            </w:r>
          </w:p>
        </w:tc>
        <w:tc>
          <w:tcPr>
            <w:tcW w:w="663" w:type="pct"/>
            <w:vAlign w:val="center"/>
          </w:tcPr>
          <w:p w:rsidR="00B21D3A" w:rsidRDefault="00B21D3A" w:rsidP="00621B7D">
            <w:pPr>
              <w:keepNext/>
              <w:tabs>
                <w:tab w:val="num" w:pos="432"/>
              </w:tabs>
              <w:outlineLvl w:val="1"/>
              <w:rPr>
                <w:sz w:val="20"/>
                <w:szCs w:val="20"/>
              </w:rPr>
            </w:pPr>
          </w:p>
          <w:p w:rsidR="00A21E2E" w:rsidRDefault="00A21E2E" w:rsidP="00621B7D">
            <w:pPr>
              <w:keepNext/>
              <w:tabs>
                <w:tab w:val="num" w:pos="432"/>
              </w:tabs>
              <w:outlineLvl w:val="1"/>
              <w:rPr>
                <w:sz w:val="20"/>
                <w:szCs w:val="20"/>
              </w:rPr>
            </w:pPr>
          </w:p>
          <w:p w:rsidR="00A21E2E" w:rsidRPr="00653303" w:rsidRDefault="00A21E2E" w:rsidP="00621B7D">
            <w:pPr>
              <w:keepNext/>
              <w:tabs>
                <w:tab w:val="num" w:pos="432"/>
              </w:tabs>
              <w:outlineLvl w:val="1"/>
              <w:rPr>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r w:rsidR="000C25FC" w:rsidRPr="008413DB" w:rsidTr="00621B7D">
        <w:trPr>
          <w:trHeight w:val="245"/>
        </w:trPr>
        <w:tc>
          <w:tcPr>
            <w:tcW w:w="236" w:type="pct"/>
            <w:vAlign w:val="center"/>
          </w:tcPr>
          <w:p w:rsidR="00B21D3A" w:rsidRDefault="00B21D3A" w:rsidP="00621B7D">
            <w:pPr>
              <w:jc w:val="center"/>
              <w:rPr>
                <w:rFonts w:cs="Arial"/>
                <w:i/>
              </w:rPr>
            </w:pPr>
            <w:r>
              <w:rPr>
                <w:rFonts w:cs="Arial"/>
                <w:i/>
              </w:rPr>
              <w:t xml:space="preserve">3 </w:t>
            </w:r>
          </w:p>
        </w:tc>
        <w:tc>
          <w:tcPr>
            <w:tcW w:w="663" w:type="pct"/>
            <w:vAlign w:val="center"/>
          </w:tcPr>
          <w:p w:rsidR="00B21D3A" w:rsidRDefault="00B21D3A" w:rsidP="00621B7D">
            <w:pPr>
              <w:keepNext/>
              <w:tabs>
                <w:tab w:val="num" w:pos="432"/>
              </w:tabs>
              <w:outlineLvl w:val="1"/>
              <w:rPr>
                <w:rFonts w:ascii="Calibri" w:hAnsi="Calibri"/>
                <w:sz w:val="20"/>
                <w:szCs w:val="20"/>
              </w:rPr>
            </w:pPr>
          </w:p>
          <w:p w:rsidR="00A21E2E" w:rsidRDefault="00A21E2E" w:rsidP="00621B7D">
            <w:pPr>
              <w:keepNext/>
              <w:tabs>
                <w:tab w:val="num" w:pos="432"/>
              </w:tabs>
              <w:outlineLvl w:val="1"/>
              <w:rPr>
                <w:rFonts w:ascii="Calibri" w:hAnsi="Calibri"/>
                <w:sz w:val="20"/>
                <w:szCs w:val="20"/>
              </w:rPr>
            </w:pPr>
          </w:p>
          <w:p w:rsidR="00A21E2E" w:rsidRPr="00653303" w:rsidRDefault="00A21E2E" w:rsidP="00621B7D">
            <w:pPr>
              <w:keepNext/>
              <w:tabs>
                <w:tab w:val="num" w:pos="432"/>
              </w:tabs>
              <w:outlineLvl w:val="1"/>
              <w:rPr>
                <w:rFonts w:ascii="Calibri" w:hAnsi="Calibri"/>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621B7D" w:rsidRDefault="00621B7D" w:rsidP="00170712">
      <w:pPr>
        <w:rPr>
          <w:rFonts w:cs="Arial"/>
          <w:sz w:val="18"/>
          <w:szCs w:val="18"/>
        </w:rPr>
      </w:pPr>
    </w:p>
    <w:p w:rsidR="00621B7D" w:rsidRDefault="00621B7D"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w:t>
            </w:r>
            <w:r w:rsidR="006D668D">
              <w:rPr>
                <w:rFonts w:cs="Arial"/>
                <w:sz w:val="18"/>
                <w:szCs w:val="18"/>
              </w:rPr>
              <w:t>EUR</w:t>
            </w:r>
            <w:r w:rsidRPr="008413DB">
              <w:rPr>
                <w:rFonts w:cs="Arial"/>
                <w:sz w:val="18"/>
                <w:szCs w:val="18"/>
              </w:rPr>
              <w:t>]</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6D668D" w:rsidP="008A154E">
            <w:pPr>
              <w:jc w:val="center"/>
              <w:rPr>
                <w:rFonts w:cs="Arial"/>
                <w:sz w:val="16"/>
                <w:szCs w:val="16"/>
              </w:rPr>
            </w:pPr>
            <w:r>
              <w:rPr>
                <w:rFonts w:cs="Arial"/>
                <w:sz w:val="16"/>
                <w:szCs w:val="16"/>
              </w:rPr>
              <w:t xml:space="preserve">Nabava naftnih derivata – Loživo ulje </w:t>
            </w:r>
          </w:p>
        </w:tc>
        <w:tc>
          <w:tcPr>
            <w:tcW w:w="589" w:type="pct"/>
            <w:vAlign w:val="center"/>
          </w:tcPr>
          <w:p w:rsidR="00170712" w:rsidRDefault="006B1EB0" w:rsidP="008A154E">
            <w:pPr>
              <w:jc w:val="center"/>
              <w:rPr>
                <w:rFonts w:cs="Arial"/>
                <w:sz w:val="16"/>
                <w:szCs w:val="16"/>
              </w:rPr>
            </w:pPr>
            <w:r>
              <w:rPr>
                <w:rFonts w:cs="Arial"/>
                <w:sz w:val="16"/>
                <w:szCs w:val="16"/>
              </w:rPr>
              <w:t>2024/S 0F3-0004467</w:t>
            </w:r>
          </w:p>
          <w:p w:rsidR="006B1EB0" w:rsidRPr="008413DB" w:rsidRDefault="006B1EB0" w:rsidP="008A154E">
            <w:pPr>
              <w:jc w:val="center"/>
              <w:rPr>
                <w:rFonts w:cs="Arial"/>
                <w:sz w:val="16"/>
                <w:szCs w:val="16"/>
              </w:rPr>
            </w:pPr>
            <w:r>
              <w:rPr>
                <w:rFonts w:cs="Arial"/>
                <w:sz w:val="16"/>
                <w:szCs w:val="16"/>
              </w:rPr>
              <w:t>VN-4-22</w:t>
            </w:r>
          </w:p>
        </w:tc>
        <w:tc>
          <w:tcPr>
            <w:tcW w:w="395" w:type="pct"/>
            <w:vAlign w:val="center"/>
          </w:tcPr>
          <w:p w:rsidR="00170712" w:rsidRPr="008413DB" w:rsidRDefault="006B1EB0" w:rsidP="008A154E">
            <w:pPr>
              <w:jc w:val="center"/>
              <w:rPr>
                <w:rFonts w:cs="Arial"/>
                <w:sz w:val="16"/>
                <w:szCs w:val="16"/>
              </w:rPr>
            </w:pPr>
            <w:r>
              <w:rPr>
                <w:rFonts w:cs="Arial"/>
                <w:sz w:val="16"/>
                <w:szCs w:val="16"/>
              </w:rPr>
              <w:t>Otvoreni postupak</w:t>
            </w:r>
          </w:p>
        </w:tc>
        <w:tc>
          <w:tcPr>
            <w:tcW w:w="395" w:type="pct"/>
            <w:vAlign w:val="center"/>
          </w:tcPr>
          <w:p w:rsidR="00170712" w:rsidRPr="008413DB" w:rsidRDefault="006D668D" w:rsidP="008A154E">
            <w:pPr>
              <w:jc w:val="center"/>
              <w:rPr>
                <w:rFonts w:cs="Arial"/>
                <w:sz w:val="16"/>
                <w:szCs w:val="16"/>
              </w:rPr>
            </w:pPr>
            <w:r>
              <w:rPr>
                <w:rFonts w:cs="Arial"/>
                <w:sz w:val="16"/>
                <w:szCs w:val="16"/>
              </w:rPr>
              <w:t>22.802,78</w:t>
            </w:r>
          </w:p>
        </w:tc>
        <w:tc>
          <w:tcPr>
            <w:tcW w:w="395" w:type="pct"/>
            <w:vAlign w:val="center"/>
          </w:tcPr>
          <w:p w:rsidR="00170712" w:rsidRPr="008413DB" w:rsidRDefault="006D668D" w:rsidP="008A154E">
            <w:pPr>
              <w:jc w:val="center"/>
              <w:rPr>
                <w:rFonts w:cs="Arial"/>
                <w:sz w:val="16"/>
                <w:szCs w:val="16"/>
              </w:rPr>
            </w:pPr>
            <w:r>
              <w:rPr>
                <w:rFonts w:cs="Arial"/>
                <w:sz w:val="16"/>
                <w:szCs w:val="16"/>
              </w:rPr>
              <w:t>22.01.2024.</w:t>
            </w:r>
          </w:p>
        </w:tc>
        <w:tc>
          <w:tcPr>
            <w:tcW w:w="395" w:type="pct"/>
            <w:vAlign w:val="center"/>
          </w:tcPr>
          <w:p w:rsidR="00170712" w:rsidRPr="008413DB" w:rsidRDefault="006D668D" w:rsidP="008A154E">
            <w:pPr>
              <w:jc w:val="center"/>
              <w:rPr>
                <w:rFonts w:cs="Arial"/>
                <w:sz w:val="16"/>
                <w:szCs w:val="16"/>
              </w:rPr>
            </w:pPr>
            <w:r>
              <w:rPr>
                <w:rFonts w:cs="Arial"/>
                <w:sz w:val="16"/>
                <w:szCs w:val="16"/>
              </w:rPr>
              <w:t>01.01.2024.-31.12.2024.</w:t>
            </w:r>
          </w:p>
        </w:tc>
        <w:tc>
          <w:tcPr>
            <w:tcW w:w="395" w:type="pct"/>
            <w:vAlign w:val="center"/>
          </w:tcPr>
          <w:p w:rsidR="00170712" w:rsidRPr="008413DB" w:rsidRDefault="006D668D" w:rsidP="008A154E">
            <w:pPr>
              <w:jc w:val="center"/>
              <w:rPr>
                <w:rFonts w:cs="Arial"/>
                <w:sz w:val="16"/>
                <w:szCs w:val="16"/>
              </w:rPr>
            </w:pPr>
            <w:r>
              <w:rPr>
                <w:rFonts w:cs="Arial"/>
                <w:sz w:val="16"/>
                <w:szCs w:val="16"/>
              </w:rPr>
              <w:t>Rijeka trans d.o.o.</w:t>
            </w:r>
          </w:p>
        </w:tc>
        <w:tc>
          <w:tcPr>
            <w:tcW w:w="395" w:type="pct"/>
            <w:vAlign w:val="center"/>
          </w:tcPr>
          <w:p w:rsidR="00170712" w:rsidRPr="008413DB" w:rsidRDefault="00CA19F3" w:rsidP="008A154E">
            <w:pPr>
              <w:jc w:val="center"/>
              <w:rPr>
                <w:rFonts w:cs="Arial"/>
                <w:sz w:val="16"/>
                <w:szCs w:val="16"/>
              </w:rPr>
            </w:pPr>
            <w:r>
              <w:rPr>
                <w:rFonts w:cs="Arial"/>
                <w:sz w:val="16"/>
                <w:szCs w:val="16"/>
              </w:rPr>
              <w:t>31.12.2024.</w:t>
            </w: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DB5792" w:rsidP="008A154E">
            <w:pPr>
              <w:jc w:val="center"/>
              <w:rPr>
                <w:rFonts w:cs="Arial"/>
                <w:sz w:val="16"/>
                <w:szCs w:val="16"/>
              </w:rPr>
            </w:pPr>
            <w:r>
              <w:rPr>
                <w:rFonts w:cs="Arial"/>
                <w:sz w:val="16"/>
                <w:szCs w:val="16"/>
              </w:rPr>
              <w:t>Opskrba električnom energijom</w:t>
            </w:r>
          </w:p>
        </w:tc>
        <w:tc>
          <w:tcPr>
            <w:tcW w:w="589" w:type="pct"/>
            <w:vAlign w:val="center"/>
          </w:tcPr>
          <w:p w:rsidR="00170712" w:rsidRPr="008413DB" w:rsidRDefault="00234E44" w:rsidP="008A154E">
            <w:pPr>
              <w:jc w:val="center"/>
              <w:rPr>
                <w:rFonts w:cs="Arial"/>
                <w:sz w:val="16"/>
                <w:szCs w:val="16"/>
              </w:rPr>
            </w:pPr>
            <w:r>
              <w:rPr>
                <w:rFonts w:cs="Arial"/>
                <w:sz w:val="16"/>
                <w:szCs w:val="16"/>
              </w:rPr>
              <w:t>2024/S 0F3-0010684</w:t>
            </w:r>
          </w:p>
        </w:tc>
        <w:tc>
          <w:tcPr>
            <w:tcW w:w="395" w:type="pct"/>
            <w:vAlign w:val="center"/>
          </w:tcPr>
          <w:p w:rsidR="00170712" w:rsidRPr="008413DB" w:rsidRDefault="003D3881" w:rsidP="008A154E">
            <w:pPr>
              <w:jc w:val="center"/>
              <w:rPr>
                <w:rFonts w:cs="Arial"/>
                <w:sz w:val="16"/>
                <w:szCs w:val="16"/>
              </w:rPr>
            </w:pPr>
            <w:r>
              <w:rPr>
                <w:rFonts w:cs="Arial"/>
                <w:sz w:val="16"/>
                <w:szCs w:val="16"/>
              </w:rPr>
              <w:t>Otvoreni postupak</w:t>
            </w:r>
          </w:p>
        </w:tc>
        <w:tc>
          <w:tcPr>
            <w:tcW w:w="395" w:type="pct"/>
            <w:vAlign w:val="center"/>
          </w:tcPr>
          <w:p w:rsidR="00170712" w:rsidRPr="008413DB" w:rsidRDefault="00DB5792" w:rsidP="008A154E">
            <w:pPr>
              <w:jc w:val="center"/>
              <w:rPr>
                <w:rFonts w:cs="Arial"/>
                <w:sz w:val="16"/>
                <w:szCs w:val="16"/>
              </w:rPr>
            </w:pPr>
            <w:r>
              <w:rPr>
                <w:rFonts w:cs="Arial"/>
                <w:sz w:val="16"/>
                <w:szCs w:val="16"/>
              </w:rPr>
              <w:t>1.612,25</w:t>
            </w:r>
          </w:p>
        </w:tc>
        <w:tc>
          <w:tcPr>
            <w:tcW w:w="395" w:type="pct"/>
            <w:vAlign w:val="center"/>
          </w:tcPr>
          <w:p w:rsidR="00170712" w:rsidRPr="008413DB" w:rsidRDefault="00DB5792" w:rsidP="008A154E">
            <w:pPr>
              <w:jc w:val="center"/>
              <w:rPr>
                <w:rFonts w:cs="Arial"/>
                <w:sz w:val="16"/>
                <w:szCs w:val="16"/>
              </w:rPr>
            </w:pPr>
            <w:r>
              <w:rPr>
                <w:rFonts w:cs="Arial"/>
                <w:sz w:val="16"/>
                <w:szCs w:val="16"/>
              </w:rPr>
              <w:t>20.02.2024.</w:t>
            </w:r>
          </w:p>
        </w:tc>
        <w:tc>
          <w:tcPr>
            <w:tcW w:w="395" w:type="pct"/>
            <w:vAlign w:val="center"/>
          </w:tcPr>
          <w:p w:rsidR="00170712" w:rsidRPr="008413DB" w:rsidRDefault="00DB5792" w:rsidP="008A154E">
            <w:pPr>
              <w:jc w:val="center"/>
              <w:rPr>
                <w:rFonts w:cs="Arial"/>
                <w:sz w:val="16"/>
                <w:szCs w:val="16"/>
              </w:rPr>
            </w:pPr>
            <w:r>
              <w:rPr>
                <w:rFonts w:cs="Arial"/>
                <w:sz w:val="16"/>
                <w:szCs w:val="16"/>
              </w:rPr>
              <w:t>01.03.2024.-28.02.2025.</w:t>
            </w:r>
          </w:p>
        </w:tc>
        <w:tc>
          <w:tcPr>
            <w:tcW w:w="395" w:type="pct"/>
            <w:vAlign w:val="center"/>
          </w:tcPr>
          <w:p w:rsidR="00170712" w:rsidRPr="008413DB" w:rsidRDefault="00DB5792" w:rsidP="008A154E">
            <w:pPr>
              <w:jc w:val="center"/>
              <w:rPr>
                <w:rFonts w:cs="Arial"/>
                <w:sz w:val="16"/>
                <w:szCs w:val="16"/>
              </w:rPr>
            </w:pPr>
            <w:r>
              <w:rPr>
                <w:rFonts w:cs="Arial"/>
                <w:sz w:val="16"/>
                <w:szCs w:val="16"/>
              </w:rPr>
              <w:t>HEP-opskrba d.o.o.</w:t>
            </w:r>
          </w:p>
        </w:tc>
        <w:tc>
          <w:tcPr>
            <w:tcW w:w="395" w:type="pct"/>
            <w:vAlign w:val="center"/>
          </w:tcPr>
          <w:p w:rsidR="00170712" w:rsidRPr="008413DB" w:rsidRDefault="00CA19F3" w:rsidP="008A154E">
            <w:pPr>
              <w:jc w:val="center"/>
              <w:rPr>
                <w:rFonts w:cs="Arial"/>
                <w:sz w:val="16"/>
                <w:szCs w:val="16"/>
              </w:rPr>
            </w:pPr>
            <w:r>
              <w:rPr>
                <w:rFonts w:cs="Arial"/>
                <w:sz w:val="16"/>
                <w:szCs w:val="16"/>
              </w:rPr>
              <w:t>28.02.2025.</w:t>
            </w: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107BD4">
        <w:rPr>
          <w:rFonts w:cs="Arial"/>
          <w:sz w:val="18"/>
          <w:szCs w:val="18"/>
        </w:rPr>
        <w:t>29</w:t>
      </w:r>
      <w:bookmarkStart w:id="0" w:name="_GoBack"/>
      <w:bookmarkEnd w:id="0"/>
      <w:r w:rsidR="002E76D3">
        <w:rPr>
          <w:rFonts w:cs="Arial"/>
          <w:sz w:val="18"/>
          <w:szCs w:val="18"/>
        </w:rPr>
        <w:t>.</w:t>
      </w:r>
      <w:r w:rsidR="0083255D">
        <w:rPr>
          <w:rFonts w:cs="Arial"/>
          <w:sz w:val="18"/>
          <w:szCs w:val="18"/>
        </w:rPr>
        <w:t>03</w:t>
      </w:r>
      <w:r w:rsidR="002E76D3">
        <w:rPr>
          <w:rFonts w:cs="Arial"/>
          <w:sz w:val="18"/>
          <w:szCs w:val="18"/>
        </w:rPr>
        <w:t>.202</w:t>
      </w:r>
      <w:r w:rsidR="0083255D">
        <w:rPr>
          <w:rFonts w:cs="Arial"/>
          <w:sz w:val="18"/>
          <w:szCs w:val="18"/>
        </w:rPr>
        <w:t>4</w:t>
      </w:r>
      <w:r w:rsidR="002E76D3">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2"/>
    <w:rsid w:val="00076931"/>
    <w:rsid w:val="000C25FC"/>
    <w:rsid w:val="000E0FBC"/>
    <w:rsid w:val="00107BD4"/>
    <w:rsid w:val="0013121C"/>
    <w:rsid w:val="00170712"/>
    <w:rsid w:val="00191B46"/>
    <w:rsid w:val="00234E44"/>
    <w:rsid w:val="002626AA"/>
    <w:rsid w:val="002E76D3"/>
    <w:rsid w:val="003312B6"/>
    <w:rsid w:val="003D3881"/>
    <w:rsid w:val="004D386C"/>
    <w:rsid w:val="00552C7A"/>
    <w:rsid w:val="005913D3"/>
    <w:rsid w:val="00621B7D"/>
    <w:rsid w:val="006B1EB0"/>
    <w:rsid w:val="006D668D"/>
    <w:rsid w:val="007C0C80"/>
    <w:rsid w:val="00827902"/>
    <w:rsid w:val="0083255D"/>
    <w:rsid w:val="00953B58"/>
    <w:rsid w:val="00973288"/>
    <w:rsid w:val="00A21E2E"/>
    <w:rsid w:val="00A27ACD"/>
    <w:rsid w:val="00A46D1A"/>
    <w:rsid w:val="00AE1D33"/>
    <w:rsid w:val="00B21D3A"/>
    <w:rsid w:val="00B3193A"/>
    <w:rsid w:val="00B51D5B"/>
    <w:rsid w:val="00C902A1"/>
    <w:rsid w:val="00CA19F3"/>
    <w:rsid w:val="00CB4FE3"/>
    <w:rsid w:val="00D535BB"/>
    <w:rsid w:val="00DB5792"/>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A46D"/>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Ana Marušić</cp:lastModifiedBy>
  <cp:revision>10</cp:revision>
  <cp:lastPrinted>2021-01-25T08:15:00Z</cp:lastPrinted>
  <dcterms:created xsi:type="dcterms:W3CDTF">2024-04-08T11:24:00Z</dcterms:created>
  <dcterms:modified xsi:type="dcterms:W3CDTF">2024-04-09T09:24:00Z</dcterms:modified>
</cp:coreProperties>
</file>