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EF" w:rsidRDefault="00EB0976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Srednja škola Gračac</w:t>
      </w:r>
    </w:p>
    <w:p w:rsidR="007450EF" w:rsidRDefault="00EB097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Školska 8, 23440 Gračac</w:t>
      </w:r>
    </w:p>
    <w:p w:rsidR="007450EF" w:rsidRDefault="00EB097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Tel./fax.: 023 773 870</w:t>
      </w:r>
    </w:p>
    <w:p w:rsidR="007450EF" w:rsidRDefault="00EB097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7" w:history="1">
        <w:r>
          <w:rPr>
            <w:rFonts w:cstheme="minorHAnsi"/>
            <w:color w:val="0563C1"/>
            <w:sz w:val="24"/>
            <w:szCs w:val="24"/>
            <w:u w:val="single"/>
          </w:rPr>
          <w:t>ss-gracac@ss-gracac.skole.hr</w:t>
        </w:r>
      </w:hyperlink>
    </w:p>
    <w:p w:rsidR="007450EF" w:rsidRDefault="00EB097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8" w:history="1">
        <w:r>
          <w:rPr>
            <w:rFonts w:cstheme="minorHAnsi"/>
            <w:color w:val="0563C1"/>
            <w:sz w:val="24"/>
            <w:szCs w:val="24"/>
            <w:u w:val="single"/>
          </w:rPr>
          <w:t>https://ss-gracac.skole.hr/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7450EF" w:rsidRDefault="007450EF">
      <w:pPr>
        <w:jc w:val="both"/>
        <w:rPr>
          <w:rFonts w:cstheme="minorHAnsi"/>
          <w:sz w:val="24"/>
          <w:szCs w:val="24"/>
        </w:rPr>
      </w:pPr>
    </w:p>
    <w:p w:rsidR="007450EF" w:rsidRDefault="00EB097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REPUBLIKA HRVATSKA</w:t>
      </w:r>
    </w:p>
    <w:p w:rsidR="007450EF" w:rsidRDefault="00EB097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ZADARSKA ŽUPANIJA</w:t>
      </w:r>
    </w:p>
    <w:p w:rsidR="007450EF" w:rsidRDefault="00EB0976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SREDNJA ŠKOLA GRAČAC</w:t>
      </w:r>
    </w:p>
    <w:p w:rsidR="007450EF" w:rsidRDefault="007450EF">
      <w:pPr>
        <w:rPr>
          <w:rFonts w:cstheme="minorHAnsi"/>
          <w:b/>
          <w:sz w:val="24"/>
          <w:szCs w:val="24"/>
        </w:rPr>
      </w:pPr>
    </w:p>
    <w:p w:rsidR="007450EF" w:rsidRDefault="00EB0976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PROCJENA POSTOJEĆEG STANJA I ANALIZA RIZIKA U SREDNJOJ ŠKOLI GRAČAC</w:t>
      </w:r>
    </w:p>
    <w:p w:rsidR="007450EF" w:rsidRDefault="00EB09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4629150" cy="3419475"/>
            <wp:effectExtent l="0" t="0" r="0" b="9525"/>
            <wp:wrapNone/>
            <wp:docPr id="1" name="Slika 2" descr="SŠ GRAČ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0EF" w:rsidRDefault="007450EF">
      <w:pPr>
        <w:jc w:val="both"/>
        <w:rPr>
          <w:rFonts w:cstheme="minorHAnsi"/>
          <w:sz w:val="24"/>
          <w:szCs w:val="24"/>
        </w:rPr>
      </w:pPr>
    </w:p>
    <w:p w:rsidR="007450EF" w:rsidRDefault="007450EF">
      <w:pPr>
        <w:jc w:val="both"/>
        <w:rPr>
          <w:rFonts w:cstheme="minorHAnsi"/>
          <w:sz w:val="24"/>
          <w:szCs w:val="24"/>
        </w:rPr>
      </w:pPr>
    </w:p>
    <w:p w:rsidR="007450EF" w:rsidRDefault="007450EF">
      <w:pPr>
        <w:jc w:val="both"/>
        <w:rPr>
          <w:rFonts w:cstheme="minorHAnsi"/>
          <w:sz w:val="24"/>
          <w:szCs w:val="24"/>
        </w:rPr>
      </w:pPr>
    </w:p>
    <w:p w:rsidR="007450EF" w:rsidRDefault="007450EF">
      <w:pPr>
        <w:jc w:val="both"/>
        <w:rPr>
          <w:rFonts w:cstheme="minorHAnsi"/>
          <w:sz w:val="24"/>
          <w:szCs w:val="24"/>
        </w:rPr>
      </w:pPr>
    </w:p>
    <w:p w:rsidR="007450EF" w:rsidRDefault="007450EF">
      <w:pPr>
        <w:jc w:val="both"/>
        <w:rPr>
          <w:rFonts w:cstheme="minorHAnsi"/>
          <w:sz w:val="24"/>
          <w:szCs w:val="24"/>
        </w:rPr>
      </w:pPr>
    </w:p>
    <w:p w:rsidR="007450EF" w:rsidRDefault="007450EF">
      <w:pPr>
        <w:jc w:val="both"/>
        <w:rPr>
          <w:rFonts w:cstheme="minorHAnsi"/>
          <w:sz w:val="24"/>
          <w:szCs w:val="24"/>
        </w:rPr>
      </w:pPr>
    </w:p>
    <w:p w:rsidR="007450EF" w:rsidRDefault="00EB0976">
      <w:pPr>
        <w:tabs>
          <w:tab w:val="left" w:pos="796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7450EF" w:rsidRDefault="007450EF">
      <w:pPr>
        <w:rPr>
          <w:rFonts w:cstheme="minorHAnsi"/>
          <w:sz w:val="24"/>
          <w:szCs w:val="24"/>
        </w:rPr>
      </w:pPr>
    </w:p>
    <w:p w:rsidR="007450EF" w:rsidRDefault="007450EF">
      <w:pPr>
        <w:jc w:val="center"/>
        <w:rPr>
          <w:rFonts w:cstheme="minorHAnsi"/>
          <w:sz w:val="24"/>
          <w:szCs w:val="24"/>
        </w:rPr>
      </w:pPr>
    </w:p>
    <w:p w:rsidR="007450EF" w:rsidRDefault="007450EF">
      <w:pPr>
        <w:jc w:val="center"/>
        <w:rPr>
          <w:rFonts w:cstheme="minorHAnsi"/>
          <w:sz w:val="24"/>
          <w:szCs w:val="24"/>
        </w:rPr>
      </w:pPr>
    </w:p>
    <w:p w:rsidR="007450EF" w:rsidRDefault="007450EF">
      <w:pPr>
        <w:jc w:val="center"/>
        <w:rPr>
          <w:rFonts w:cstheme="minorHAnsi"/>
          <w:sz w:val="24"/>
          <w:szCs w:val="24"/>
        </w:rPr>
      </w:pPr>
    </w:p>
    <w:p w:rsidR="007450EF" w:rsidRDefault="007450EF">
      <w:pPr>
        <w:jc w:val="center"/>
        <w:rPr>
          <w:rFonts w:cstheme="minorHAnsi"/>
          <w:sz w:val="24"/>
          <w:szCs w:val="24"/>
        </w:rPr>
      </w:pPr>
    </w:p>
    <w:p w:rsidR="007450EF" w:rsidRDefault="007450EF">
      <w:pPr>
        <w:rPr>
          <w:rFonts w:cstheme="minorHAnsi"/>
          <w:sz w:val="24"/>
          <w:szCs w:val="24"/>
        </w:rPr>
      </w:pPr>
    </w:p>
    <w:p w:rsidR="007450EF" w:rsidRDefault="007450EF">
      <w:pPr>
        <w:rPr>
          <w:rFonts w:cstheme="minorHAnsi"/>
          <w:sz w:val="24"/>
          <w:szCs w:val="24"/>
        </w:rPr>
      </w:pPr>
    </w:p>
    <w:p w:rsidR="007450EF" w:rsidRDefault="00EB097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Gračac, ožujak 2025. godine</w:t>
      </w:r>
    </w:p>
    <w:p w:rsidR="007450EF" w:rsidRDefault="00EB0976">
      <w:pPr>
        <w:spacing w:line="240" w:lineRule="auto"/>
        <w:ind w:right="-22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lastRenderedPageBreak/>
        <w:t>Temeljem točke 6. Protokola o kontroli ulaska i izlaska u školske ustanove koje je donijelo Ministarstvo znanosti, obrazovanja i mladih 02. siječnja 2025. godine (KLASA: 602-01/24-01/00527, URBROJ: 533-05-25-0003) i članka 1. Odluke o imenovanju školskog s</w:t>
      </w:r>
      <w:r>
        <w:rPr>
          <w:rFonts w:eastAsia="Times New Roman" w:cstheme="minorHAnsi"/>
          <w:sz w:val="24"/>
          <w:szCs w:val="24"/>
          <w:lang w:eastAsia="hr-HR"/>
        </w:rPr>
        <w:t xml:space="preserve">igurnosnog tima u Srednjoj školi Gračac (KLASA: 011-03/25-03/6, URBROJ: </w:t>
      </w:r>
      <w:r>
        <w:rPr>
          <w:rFonts w:cstheme="minorHAnsi"/>
          <w:sz w:val="24"/>
          <w:szCs w:val="24"/>
        </w:rPr>
        <w:t>2198-1-70-25-1)</w:t>
      </w:r>
      <w:r>
        <w:rPr>
          <w:rFonts w:cstheme="minorHAnsi"/>
          <w:i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 xml:space="preserve">od 20. siječnja 2025. godine, Školski sigurnosni tim Srednje škole Gračac dana 25. ožujka 2025. godine donio je </w:t>
      </w:r>
    </w:p>
    <w:p w:rsidR="007450EF" w:rsidRDefault="007450EF">
      <w:pPr>
        <w:jc w:val="center"/>
        <w:rPr>
          <w:rFonts w:cstheme="minorHAnsi"/>
          <w:b/>
          <w:bCs/>
          <w:iCs/>
          <w:sz w:val="24"/>
          <w:szCs w:val="24"/>
        </w:rPr>
      </w:pPr>
    </w:p>
    <w:p w:rsidR="007450EF" w:rsidRDefault="00EB0976">
      <w:pPr>
        <w:jc w:val="center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Procjenu postojećeg stanja i analizu rizika</w:t>
      </w:r>
    </w:p>
    <w:p w:rsidR="007450EF" w:rsidRDefault="007450EF">
      <w:pPr>
        <w:jc w:val="center"/>
        <w:rPr>
          <w:rFonts w:cstheme="minorHAnsi"/>
          <w:b/>
          <w:bCs/>
          <w:iCs/>
          <w:sz w:val="24"/>
          <w:szCs w:val="24"/>
        </w:rPr>
      </w:pPr>
    </w:p>
    <w:p w:rsidR="007450EF" w:rsidRDefault="00EB0976">
      <w:pPr>
        <w:jc w:val="center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I.</w:t>
      </w:r>
    </w:p>
    <w:p w:rsidR="007450EF" w:rsidRDefault="00EB0976">
      <w:pPr>
        <w:spacing w:line="240" w:lineRule="auto"/>
        <w:ind w:right="-13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ciljem osiguravanja veće sigurnosti u </w:t>
      </w:r>
      <w:r>
        <w:rPr>
          <w:rFonts w:eastAsia="Times New Roman" w:cstheme="minorHAnsi"/>
          <w:sz w:val="24"/>
          <w:szCs w:val="24"/>
          <w:lang w:eastAsia="hr-HR"/>
        </w:rPr>
        <w:t>Srednjoj školi Gračac</w:t>
      </w:r>
      <w:r>
        <w:rPr>
          <w:rFonts w:cstheme="minorHAnsi"/>
          <w:sz w:val="24"/>
          <w:szCs w:val="24"/>
        </w:rPr>
        <w:t xml:space="preserve"> (u daljnjem tekstu: Škola), zaštite učenika i svih radnika Škole te prevencije mogućih situacija povećanog rizika</w:t>
      </w:r>
      <w:r>
        <w:rPr>
          <w:rFonts w:cstheme="minorHAnsi"/>
          <w:bCs/>
          <w:iCs/>
          <w:sz w:val="24"/>
          <w:szCs w:val="24"/>
        </w:rPr>
        <w:t xml:space="preserve">, Školski sigurnosni tim donio je </w:t>
      </w:r>
      <w:r>
        <w:rPr>
          <w:rFonts w:cstheme="minorHAnsi"/>
          <w:sz w:val="24"/>
          <w:szCs w:val="24"/>
        </w:rPr>
        <w:t xml:space="preserve">Procjenu postojećeg stanja i analize rizika u </w:t>
      </w:r>
      <w:r>
        <w:rPr>
          <w:rFonts w:eastAsia="Times New Roman" w:cstheme="minorHAnsi"/>
          <w:sz w:val="24"/>
          <w:szCs w:val="24"/>
          <w:lang w:eastAsia="hr-HR"/>
        </w:rPr>
        <w:t>S</w:t>
      </w:r>
      <w:r>
        <w:rPr>
          <w:rFonts w:eastAsia="Times New Roman" w:cstheme="minorHAnsi"/>
          <w:sz w:val="24"/>
          <w:szCs w:val="24"/>
          <w:lang w:eastAsia="hr-HR"/>
        </w:rPr>
        <w:t>rednjoj školi Gračac</w:t>
      </w:r>
      <w:r>
        <w:rPr>
          <w:rFonts w:cstheme="minorHAnsi"/>
          <w:sz w:val="24"/>
          <w:szCs w:val="24"/>
        </w:rPr>
        <w:t xml:space="preserve"> koju čine sljedeći dokumenti:</w:t>
      </w:r>
    </w:p>
    <w:p w:rsidR="007450EF" w:rsidRDefault="00EB0976">
      <w:pPr>
        <w:numPr>
          <w:ilvl w:val="0"/>
          <w:numId w:val="6"/>
        </w:numPr>
        <w:spacing w:line="240" w:lineRule="auto"/>
        <w:ind w:right="-13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Opći podaci Škole</w:t>
      </w:r>
    </w:p>
    <w:p w:rsidR="007450EF" w:rsidRDefault="00EB0976">
      <w:pPr>
        <w:numPr>
          <w:ilvl w:val="0"/>
          <w:numId w:val="6"/>
        </w:numPr>
        <w:spacing w:line="240" w:lineRule="auto"/>
        <w:ind w:right="-13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Podaci o objektima</w:t>
      </w:r>
    </w:p>
    <w:p w:rsidR="007450EF" w:rsidRDefault="00EB0976">
      <w:pPr>
        <w:numPr>
          <w:ilvl w:val="0"/>
          <w:numId w:val="6"/>
        </w:numPr>
        <w:spacing w:line="240" w:lineRule="auto"/>
        <w:ind w:right="-13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Podaci o postojećem sigurnosnom stanju</w:t>
      </w:r>
    </w:p>
    <w:p w:rsidR="007450EF" w:rsidRDefault="00EB0976">
      <w:pPr>
        <w:numPr>
          <w:ilvl w:val="0"/>
          <w:numId w:val="6"/>
        </w:numPr>
        <w:ind w:right="-421"/>
        <w:contextualSpacing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Rizici sigurnosti u Školi</w:t>
      </w:r>
    </w:p>
    <w:p w:rsidR="007450EF" w:rsidRDefault="007450EF">
      <w:pPr>
        <w:ind w:left="720" w:right="-421"/>
        <w:contextualSpacing/>
        <w:jc w:val="both"/>
        <w:rPr>
          <w:rFonts w:cstheme="minorHAnsi"/>
          <w:bCs/>
          <w:iCs/>
          <w:sz w:val="24"/>
          <w:szCs w:val="24"/>
        </w:rPr>
      </w:pPr>
    </w:p>
    <w:p w:rsidR="007450EF" w:rsidRDefault="00EB0976">
      <w:pPr>
        <w:spacing w:line="240" w:lineRule="auto"/>
        <w:ind w:right="-138"/>
        <w:jc w:val="center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II.</w:t>
      </w:r>
    </w:p>
    <w:p w:rsidR="007450EF" w:rsidRDefault="00EB0976">
      <w:pPr>
        <w:spacing w:line="240" w:lineRule="auto"/>
        <w:ind w:right="-13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Temeljem ove Procjene izradit će se Plan sigurnosti Škole.</w:t>
      </w:r>
    </w:p>
    <w:p w:rsidR="007450EF" w:rsidRDefault="007450EF">
      <w:pPr>
        <w:spacing w:line="240" w:lineRule="auto"/>
        <w:ind w:right="-138"/>
        <w:jc w:val="both"/>
        <w:rPr>
          <w:rFonts w:cstheme="minorHAnsi"/>
          <w:bCs/>
          <w:iCs/>
          <w:sz w:val="24"/>
          <w:szCs w:val="24"/>
        </w:rPr>
      </w:pPr>
    </w:p>
    <w:p w:rsidR="007450EF" w:rsidRDefault="007450EF">
      <w:pPr>
        <w:spacing w:line="240" w:lineRule="auto"/>
        <w:ind w:right="-138"/>
        <w:jc w:val="both"/>
        <w:rPr>
          <w:rFonts w:cstheme="minorHAnsi"/>
          <w:bCs/>
          <w:iCs/>
          <w:sz w:val="24"/>
          <w:szCs w:val="24"/>
        </w:rPr>
      </w:pPr>
    </w:p>
    <w:p w:rsidR="007450EF" w:rsidRDefault="00EB0976">
      <w:pPr>
        <w:spacing w:line="240" w:lineRule="auto"/>
        <w:ind w:right="-138"/>
        <w:jc w:val="center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                             </w:t>
      </w:r>
      <w:r>
        <w:rPr>
          <w:rFonts w:cstheme="minorHAnsi"/>
          <w:bCs/>
          <w:iCs/>
          <w:sz w:val="24"/>
          <w:szCs w:val="24"/>
        </w:rPr>
        <w:t xml:space="preserve">                     Predsjednica školskog sigurnosnog tima:</w:t>
      </w:r>
    </w:p>
    <w:p w:rsidR="007450EF" w:rsidRDefault="007450EF">
      <w:pPr>
        <w:spacing w:line="240" w:lineRule="auto"/>
        <w:ind w:right="-138"/>
        <w:jc w:val="both"/>
        <w:rPr>
          <w:rFonts w:cstheme="minorHAnsi"/>
          <w:bCs/>
          <w:iCs/>
          <w:sz w:val="24"/>
          <w:szCs w:val="24"/>
        </w:rPr>
      </w:pPr>
    </w:p>
    <w:p w:rsidR="007450EF" w:rsidRDefault="00EB0976">
      <w:pPr>
        <w:spacing w:line="240" w:lineRule="auto"/>
        <w:ind w:right="-138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                                                                                ____________________</w:t>
      </w:r>
    </w:p>
    <w:p w:rsidR="007450EF" w:rsidRDefault="00EB0976">
      <w:pPr>
        <w:spacing w:line="240" w:lineRule="auto"/>
        <w:ind w:right="-138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                                                                           </w:t>
      </w:r>
    </w:p>
    <w:p w:rsidR="007450EF" w:rsidRDefault="007450EF">
      <w:pPr>
        <w:jc w:val="both"/>
        <w:rPr>
          <w:rFonts w:cstheme="minorHAnsi"/>
          <w:sz w:val="24"/>
          <w:szCs w:val="24"/>
          <w:lang w:val="en-US"/>
        </w:rPr>
      </w:pPr>
    </w:p>
    <w:p w:rsidR="007450EF" w:rsidRDefault="007450EF">
      <w:pPr>
        <w:jc w:val="both"/>
        <w:rPr>
          <w:rFonts w:cstheme="minorHAnsi"/>
          <w:sz w:val="24"/>
          <w:szCs w:val="24"/>
          <w:lang w:val="en-US"/>
        </w:rPr>
      </w:pPr>
    </w:p>
    <w:p w:rsidR="007450EF" w:rsidRDefault="007450EF">
      <w:pPr>
        <w:jc w:val="both"/>
        <w:rPr>
          <w:rFonts w:cstheme="minorHAnsi"/>
          <w:sz w:val="24"/>
          <w:szCs w:val="24"/>
          <w:lang w:val="en-US"/>
        </w:rPr>
      </w:pPr>
    </w:p>
    <w:p w:rsidR="007450EF" w:rsidRDefault="007450EF">
      <w:pPr>
        <w:jc w:val="both"/>
        <w:rPr>
          <w:rFonts w:cstheme="minorHAnsi"/>
          <w:sz w:val="24"/>
          <w:szCs w:val="24"/>
          <w:lang w:val="en-US"/>
        </w:rPr>
      </w:pPr>
    </w:p>
    <w:p w:rsidR="007450EF" w:rsidRDefault="007450EF">
      <w:pPr>
        <w:jc w:val="both"/>
        <w:rPr>
          <w:rFonts w:cstheme="minorHAnsi"/>
          <w:sz w:val="24"/>
          <w:szCs w:val="24"/>
          <w:lang w:val="en-US"/>
        </w:rPr>
      </w:pPr>
    </w:p>
    <w:p w:rsidR="007450EF" w:rsidRDefault="00EB0976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Sigurnosni sustav Srednje škole Gračac temelji se zakonskim propisima, pravilnicima, tehničkim rješenjima i organizacijskim mjerama koje osiguravaju zaštitu učenika, zaposlenika i posjetitelja Škole. Škola kontinuirano ulaže napore u održavanje visokog sta</w:t>
      </w:r>
      <w:r>
        <w:rPr>
          <w:rFonts w:cstheme="minorHAnsi"/>
          <w:sz w:val="24"/>
          <w:szCs w:val="24"/>
          <w:lang w:val="en-US"/>
        </w:rPr>
        <w:t xml:space="preserve">ndarda sigurnosti kroz implementaciju preventivnih mjera i redovitu procjenu ugroženosti. Unatoč tome, postoji dosta prostora da se donesu nove mjere kojima će se  poboljšati sigurnosni sustav Srednje škole Gračac. </w:t>
      </w:r>
    </w:p>
    <w:p w:rsidR="007450EF" w:rsidRDefault="00EB0976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Sigurnosna analiza rizika Srednje škole </w:t>
      </w:r>
      <w:r>
        <w:rPr>
          <w:rFonts w:cstheme="minorHAnsi"/>
          <w:sz w:val="24"/>
          <w:szCs w:val="24"/>
          <w:lang w:val="en-US"/>
        </w:rPr>
        <w:t xml:space="preserve">Gračac temelji se na procjeni potencijalnih opasnosti koje mogu ugroziti sigurnost učenika, zaposlenika i posjetitelja škole. Rizici su kategorizirani prema fizičkoj sigurnosti, digitalnoj sigurnosti, prevenciji nasilja i sigurnosti školskog okoliša. </w:t>
      </w:r>
    </w:p>
    <w:p w:rsidR="007450EF" w:rsidRDefault="007450EF">
      <w:pPr>
        <w:jc w:val="both"/>
        <w:rPr>
          <w:rFonts w:cstheme="minorHAnsi"/>
          <w:sz w:val="24"/>
          <w:szCs w:val="24"/>
          <w:lang w:val="en-US"/>
        </w:rPr>
      </w:pPr>
    </w:p>
    <w:p w:rsidR="007450EF" w:rsidRDefault="00EB0976">
      <w:pPr>
        <w:numPr>
          <w:ilvl w:val="0"/>
          <w:numId w:val="1"/>
        </w:numPr>
        <w:tabs>
          <w:tab w:val="left" w:pos="188"/>
        </w:tabs>
        <w:contextualSpacing/>
        <w:jc w:val="both"/>
        <w:rPr>
          <w:rFonts w:cstheme="minorHAnsi"/>
          <w:b/>
          <w:bCs/>
          <w:iCs/>
          <w:sz w:val="24"/>
          <w:szCs w:val="24"/>
          <w:lang w:val="en-US"/>
        </w:rPr>
      </w:pPr>
      <w:r>
        <w:rPr>
          <w:rFonts w:cstheme="minorHAnsi"/>
          <w:b/>
          <w:bCs/>
          <w:iCs/>
          <w:sz w:val="24"/>
          <w:szCs w:val="24"/>
          <w:lang w:val="en-US"/>
        </w:rPr>
        <w:t>OPĆ</w:t>
      </w:r>
      <w:r>
        <w:rPr>
          <w:rFonts w:cstheme="minorHAnsi"/>
          <w:b/>
          <w:bCs/>
          <w:iCs/>
          <w:sz w:val="24"/>
          <w:szCs w:val="24"/>
          <w:lang w:val="en-US"/>
        </w:rPr>
        <w:t>I PODACI ŠKOLE</w:t>
      </w:r>
    </w:p>
    <w:p w:rsidR="007450EF" w:rsidRDefault="007450EF">
      <w:pPr>
        <w:tabs>
          <w:tab w:val="left" w:pos="188"/>
        </w:tabs>
        <w:contextualSpacing/>
        <w:jc w:val="both"/>
        <w:rPr>
          <w:rFonts w:cstheme="minorHAnsi"/>
          <w:b/>
          <w:bCs/>
          <w:iCs/>
          <w:sz w:val="24"/>
          <w:szCs w:val="24"/>
          <w:lang w:val="en-US"/>
        </w:rPr>
      </w:pPr>
    </w:p>
    <w:p w:rsidR="007450EF" w:rsidRDefault="007450EF">
      <w:pPr>
        <w:tabs>
          <w:tab w:val="left" w:pos="188"/>
        </w:tabs>
        <w:ind w:left="284"/>
        <w:contextualSpacing/>
        <w:jc w:val="both"/>
        <w:rPr>
          <w:rFonts w:cstheme="minorHAnsi"/>
          <w:b/>
          <w:bCs/>
          <w:iCs/>
          <w:sz w:val="24"/>
          <w:szCs w:val="24"/>
          <w:lang w:val="en-US"/>
        </w:rPr>
      </w:pPr>
    </w:p>
    <w:tbl>
      <w:tblPr>
        <w:tblStyle w:val="Reetkatablice"/>
        <w:tblW w:w="9581" w:type="dxa"/>
        <w:tblInd w:w="195" w:type="dxa"/>
        <w:tblLayout w:type="fixed"/>
        <w:tblLook w:val="04A0" w:firstRow="1" w:lastRow="0" w:firstColumn="1" w:lastColumn="0" w:noHBand="0" w:noVBand="1"/>
      </w:tblPr>
      <w:tblGrid>
        <w:gridCol w:w="793"/>
        <w:gridCol w:w="2315"/>
        <w:gridCol w:w="4361"/>
        <w:gridCol w:w="2112"/>
      </w:tblGrid>
      <w:tr w:rsidR="007450EF">
        <w:tc>
          <w:tcPr>
            <w:tcW w:w="793" w:type="dxa"/>
            <w:shd w:val="clear" w:color="auto" w:fill="BFBFBF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Red.</w:t>
            </w:r>
          </w:p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br.</w:t>
            </w:r>
          </w:p>
        </w:tc>
        <w:tc>
          <w:tcPr>
            <w:tcW w:w="2315" w:type="dxa"/>
            <w:shd w:val="clear" w:color="auto" w:fill="BFBFBF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Naziv podatka</w:t>
            </w:r>
          </w:p>
        </w:tc>
        <w:tc>
          <w:tcPr>
            <w:tcW w:w="4361" w:type="dxa"/>
            <w:shd w:val="clear" w:color="auto" w:fill="BFBFBF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 podatka</w:t>
            </w:r>
          </w:p>
        </w:tc>
        <w:tc>
          <w:tcPr>
            <w:tcW w:w="2112" w:type="dxa"/>
            <w:shd w:val="clear" w:color="auto" w:fill="BFBFBF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Opaska</w:t>
            </w:r>
          </w:p>
        </w:tc>
      </w:tr>
      <w:tr w:rsidR="007450EF">
        <w:tc>
          <w:tcPr>
            <w:tcW w:w="793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315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Naziv</w:t>
            </w:r>
          </w:p>
        </w:tc>
        <w:tc>
          <w:tcPr>
            <w:tcW w:w="4361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Srednja škola Gračac</w:t>
            </w:r>
          </w:p>
        </w:tc>
        <w:tc>
          <w:tcPr>
            <w:tcW w:w="2112" w:type="dxa"/>
          </w:tcPr>
          <w:p w:rsidR="007450EF" w:rsidRDefault="007450EF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50EF">
        <w:tc>
          <w:tcPr>
            <w:tcW w:w="793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315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Sjedište i adresa</w:t>
            </w:r>
          </w:p>
        </w:tc>
        <w:tc>
          <w:tcPr>
            <w:tcW w:w="4361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Školska 8</w:t>
            </w:r>
          </w:p>
        </w:tc>
        <w:tc>
          <w:tcPr>
            <w:tcW w:w="2112" w:type="dxa"/>
          </w:tcPr>
          <w:p w:rsidR="007450EF" w:rsidRDefault="007450EF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50EF">
        <w:tc>
          <w:tcPr>
            <w:tcW w:w="793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315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OIB</w:t>
            </w:r>
          </w:p>
        </w:tc>
        <w:tc>
          <w:tcPr>
            <w:tcW w:w="4361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03363221827</w:t>
            </w:r>
          </w:p>
        </w:tc>
        <w:tc>
          <w:tcPr>
            <w:tcW w:w="2112" w:type="dxa"/>
          </w:tcPr>
          <w:p w:rsidR="007450EF" w:rsidRDefault="007450EF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50EF">
        <w:tc>
          <w:tcPr>
            <w:tcW w:w="793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315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MB</w:t>
            </w:r>
          </w:p>
        </w:tc>
        <w:tc>
          <w:tcPr>
            <w:tcW w:w="4361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03312224</w:t>
            </w:r>
          </w:p>
        </w:tc>
        <w:tc>
          <w:tcPr>
            <w:tcW w:w="2112" w:type="dxa"/>
          </w:tcPr>
          <w:p w:rsidR="007450EF" w:rsidRDefault="007450EF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50EF">
        <w:tc>
          <w:tcPr>
            <w:tcW w:w="793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315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Šifra u MZOM</w:t>
            </w:r>
          </w:p>
        </w:tc>
        <w:tc>
          <w:tcPr>
            <w:tcW w:w="4361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13-027-527</w:t>
            </w:r>
          </w:p>
        </w:tc>
        <w:tc>
          <w:tcPr>
            <w:tcW w:w="2112" w:type="dxa"/>
          </w:tcPr>
          <w:p w:rsidR="007450EF" w:rsidRDefault="007450EF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50EF">
        <w:tc>
          <w:tcPr>
            <w:tcW w:w="793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315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Djelatnost</w:t>
            </w:r>
          </w:p>
        </w:tc>
        <w:tc>
          <w:tcPr>
            <w:tcW w:w="4361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Odgoj i obrazovanje</w:t>
            </w:r>
          </w:p>
        </w:tc>
        <w:tc>
          <w:tcPr>
            <w:tcW w:w="2112" w:type="dxa"/>
          </w:tcPr>
          <w:p w:rsidR="007450EF" w:rsidRDefault="007450EF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50EF">
        <w:tc>
          <w:tcPr>
            <w:tcW w:w="793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315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Broj razrednih odjela</w:t>
            </w:r>
          </w:p>
        </w:tc>
        <w:tc>
          <w:tcPr>
            <w:tcW w:w="4361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7450EF" w:rsidRDefault="007450EF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50EF">
        <w:tc>
          <w:tcPr>
            <w:tcW w:w="793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315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Ukupan broj učenika</w:t>
            </w:r>
          </w:p>
        </w:tc>
        <w:tc>
          <w:tcPr>
            <w:tcW w:w="4361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112" w:type="dxa"/>
          </w:tcPr>
          <w:p w:rsidR="007450EF" w:rsidRDefault="007450EF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450EF">
        <w:tc>
          <w:tcPr>
            <w:tcW w:w="793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315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Broj radnika</w:t>
            </w:r>
          </w:p>
        </w:tc>
        <w:tc>
          <w:tcPr>
            <w:tcW w:w="4361" w:type="dxa"/>
          </w:tcPr>
          <w:p w:rsidR="007450EF" w:rsidRDefault="00EB0976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112" w:type="dxa"/>
          </w:tcPr>
          <w:p w:rsidR="007450EF" w:rsidRDefault="007450EF">
            <w:pPr>
              <w:tabs>
                <w:tab w:val="left" w:pos="188"/>
              </w:tabs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450EF" w:rsidRDefault="007450EF">
      <w:pPr>
        <w:tabs>
          <w:tab w:val="left" w:pos="188"/>
        </w:tabs>
        <w:jc w:val="both"/>
        <w:rPr>
          <w:rFonts w:cstheme="minorHAnsi"/>
          <w:b/>
          <w:bCs/>
          <w:iCs/>
          <w:sz w:val="24"/>
          <w:szCs w:val="24"/>
        </w:rPr>
      </w:pPr>
    </w:p>
    <w:p w:rsidR="007450EF" w:rsidRDefault="007450EF">
      <w:pPr>
        <w:tabs>
          <w:tab w:val="left" w:pos="188"/>
        </w:tabs>
        <w:jc w:val="both"/>
        <w:rPr>
          <w:rFonts w:cstheme="minorHAnsi"/>
          <w:b/>
          <w:bCs/>
          <w:iCs/>
          <w:sz w:val="24"/>
          <w:szCs w:val="24"/>
        </w:rPr>
      </w:pPr>
    </w:p>
    <w:p w:rsidR="007450EF" w:rsidRDefault="00EB0976">
      <w:pPr>
        <w:numPr>
          <w:ilvl w:val="0"/>
          <w:numId w:val="1"/>
        </w:numPr>
        <w:contextualSpacing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PODACI O OBJEKTIMA ŠKOLE – fizička sigurnost učenika i zaposlenika</w:t>
      </w:r>
    </w:p>
    <w:p w:rsidR="007450EF" w:rsidRDefault="007450EF">
      <w:pPr>
        <w:tabs>
          <w:tab w:val="left" w:pos="3544"/>
        </w:tabs>
        <w:ind w:left="644"/>
        <w:contextualSpacing/>
        <w:jc w:val="both"/>
        <w:rPr>
          <w:rFonts w:cstheme="minorHAnsi"/>
          <w:b/>
          <w:sz w:val="24"/>
          <w:szCs w:val="24"/>
          <w:lang w:val="en-US"/>
        </w:rPr>
      </w:pP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Srednja škola Gračac svoju djelatnost obavlja kao javnu službu u 2 objekta:</w:t>
      </w:r>
    </w:p>
    <w:p w:rsidR="007450EF" w:rsidRDefault="00EB0976">
      <w:pPr>
        <w:numPr>
          <w:ilvl w:val="0"/>
          <w:numId w:val="11"/>
        </w:numPr>
        <w:ind w:right="-421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Objekt školske zgrade koja se sastoji od prizemlja i 1. kata</w:t>
      </w:r>
    </w:p>
    <w:p w:rsidR="007450EF" w:rsidRDefault="00EB0976">
      <w:pPr>
        <w:numPr>
          <w:ilvl w:val="0"/>
          <w:numId w:val="11"/>
        </w:numPr>
        <w:ind w:right="-421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Objekt sportske dvorane.</w:t>
      </w:r>
    </w:p>
    <w:p w:rsidR="007450EF" w:rsidRDefault="007450EF">
      <w:pPr>
        <w:ind w:right="-421"/>
        <w:jc w:val="both"/>
        <w:rPr>
          <w:rFonts w:cstheme="minorHAnsi"/>
          <w:b/>
          <w:color w:val="000000"/>
          <w:sz w:val="24"/>
          <w:szCs w:val="24"/>
        </w:rPr>
      </w:pPr>
    </w:p>
    <w:p w:rsidR="007450EF" w:rsidRDefault="00EB0976">
      <w:pPr>
        <w:ind w:right="-421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2.1. Objekt školske zgrade</w:t>
      </w:r>
    </w:p>
    <w:p w:rsidR="007450EF" w:rsidRDefault="00EB0976">
      <w:pPr>
        <w:ind w:right="-42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a) Prizemlje 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prizemlju školske zgrade u glavnom hodniku s desne strane glavnih ulaznih vrata nalazi se dvije prostorije za ostavu/spremište</w:t>
      </w:r>
      <w:r>
        <w:rPr>
          <w:rFonts w:cstheme="minorHAnsi"/>
          <w:sz w:val="24"/>
          <w:szCs w:val="24"/>
        </w:rPr>
        <w:t xml:space="preserve">, čajna kuhinja, 3 sanitarna čvora, blagavaonica, radionica za praktičnu nastavu, zbornica, kabinet za kemiju i biologiju. Nasuprot glavnih ulaznih vrata nalazi se ured </w:t>
      </w:r>
      <w:r>
        <w:rPr>
          <w:rFonts w:cstheme="minorHAnsi"/>
          <w:sz w:val="24"/>
          <w:szCs w:val="24"/>
        </w:rPr>
        <w:lastRenderedPageBreak/>
        <w:t>ravnateljice. S lijeve strane ulaznih vrata nalazi se prostorija za roditelje, knjižnic</w:t>
      </w:r>
      <w:r>
        <w:rPr>
          <w:rFonts w:cstheme="minorHAnsi"/>
          <w:sz w:val="24"/>
          <w:szCs w:val="24"/>
        </w:rPr>
        <w:t>a, ured pedagoga, računovodstvo, ured tajnika. Između knjižnice i ureda pedagoga nalaze se staklena vrata iza kojih se nastavlja hodnik koji vodi do školske dvorane. S lijeve strane istih vrata nalazi se radionica domara (u kojoj se nalaze ulazna vrata koj</w:t>
      </w:r>
      <w:r>
        <w:rPr>
          <w:rFonts w:cstheme="minorHAnsi"/>
          <w:sz w:val="24"/>
          <w:szCs w:val="24"/>
        </w:rPr>
        <w:t xml:space="preserve">e koristi isključivo domar). Iz radionice se ulazi u kotlovnicu (u njoj se nalaze ulazna vrata koja se ne koriste). Nasuprot radionice za domara nalazi se radionica u kojoj se nalazi tokarski stroj (ima ulazna vrata koje koriste zakupnici sportske dvorane </w:t>
      </w:r>
      <w:r>
        <w:rPr>
          <w:rFonts w:cstheme="minorHAnsi"/>
          <w:sz w:val="24"/>
          <w:szCs w:val="24"/>
        </w:rPr>
        <w:t>za ulazak u istu)  sanitarni čvor, prostor za spremačice (pranje i čišćenje).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prizemlju zgrade škole na sjevernoj strani, nalaze se dvokrilni prozori koji su dosta nisko postavljeni od tla te su se kroz njih znale događati provale u Školu. Radi zaštite o</w:t>
      </w:r>
      <w:r>
        <w:rPr>
          <w:rFonts w:cstheme="minorHAnsi"/>
          <w:sz w:val="24"/>
          <w:szCs w:val="24"/>
        </w:rPr>
        <w:t xml:space="preserve">d budućih provala na sve prozore zgrade (sjeverna strana) postavljene su zaštitne rešetke. </w:t>
      </w:r>
    </w:p>
    <w:p w:rsidR="007450EF" w:rsidRDefault="00EB0976">
      <w:pPr>
        <w:ind w:right="-421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četiri ulaza u zgradu Škole postavljene su jednostrane brave koje onemogućavaju ulaz izvana. U objekt školske zgrade ulazi se </w:t>
      </w:r>
      <w:r>
        <w:rPr>
          <w:rFonts w:cstheme="minorHAnsi"/>
          <w:bCs/>
          <w:iCs/>
          <w:color w:val="000000"/>
          <w:sz w:val="24"/>
          <w:szCs w:val="24"/>
        </w:rPr>
        <w:t>na glavni ulaz (na sjevernoj strani</w:t>
      </w:r>
      <w:r>
        <w:rPr>
          <w:rFonts w:cstheme="minorHAnsi"/>
          <w:bCs/>
          <w:iCs/>
          <w:color w:val="000000"/>
          <w:sz w:val="24"/>
          <w:szCs w:val="24"/>
        </w:rPr>
        <w:t xml:space="preserve"> zgrade) u kojem se nalazi prostor između dvoja vrata. Prva ulazna vrata su otključana od 7:00 do 15:00, a druga ulazna vrata su zaključana tijekom cijelog radnog vremena (otključana 30 minuta prije početka nastave, a zaključana 15 minuta poslije završetka</w:t>
      </w:r>
      <w:r>
        <w:rPr>
          <w:rFonts w:cstheme="minorHAnsi"/>
          <w:bCs/>
          <w:iCs/>
          <w:color w:val="000000"/>
          <w:sz w:val="24"/>
          <w:szCs w:val="24"/>
        </w:rPr>
        <w:t xml:space="preserve"> nastave). Između prvih i drugih ulaznih vrata nalazi se međuprostor u kojemu se nalazi interno zvono. Svi posjetitelji koji planiraju ući u školu moraju pozvoniti i pričekati dolazak dežurnog radnika. Svi posjetitelji koji nisu radnici ili učenici Škole d</w:t>
      </w:r>
      <w:r>
        <w:rPr>
          <w:rFonts w:cstheme="minorHAnsi"/>
          <w:bCs/>
          <w:iCs/>
          <w:color w:val="000000"/>
          <w:sz w:val="24"/>
          <w:szCs w:val="24"/>
        </w:rPr>
        <w:t>užni su pružiti na uvid dežurnom radniku osobnu iskaznicu ili drugi odgovarajući dokument sa slikom radi identifikacije. Osobi koja to odbije, neće se dopustiti ulazak u Školu.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Prizemlje je povezano s 1. katom stubištem.</w:t>
      </w:r>
    </w:p>
    <w:p w:rsidR="007450EF" w:rsidRDefault="007450EF">
      <w:pPr>
        <w:ind w:right="-421"/>
        <w:jc w:val="both"/>
        <w:rPr>
          <w:rFonts w:cstheme="minorHAnsi"/>
          <w:i/>
          <w:sz w:val="24"/>
          <w:szCs w:val="24"/>
        </w:rPr>
      </w:pPr>
    </w:p>
    <w:p w:rsidR="007450EF" w:rsidRDefault="00EB0976">
      <w:pPr>
        <w:ind w:right="-421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b) I. kat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prvom katu nalaze se </w:t>
      </w:r>
      <w:r>
        <w:rPr>
          <w:rFonts w:cstheme="minorHAnsi"/>
          <w:sz w:val="24"/>
          <w:szCs w:val="24"/>
        </w:rPr>
        <w:t>arhiva, 8 učionica, 2 sanitarna čvora, specijalizirana informatička učionica, dva kabineta.</w:t>
      </w:r>
    </w:p>
    <w:p w:rsidR="007450EF" w:rsidRDefault="007450EF">
      <w:pPr>
        <w:ind w:right="-421"/>
        <w:jc w:val="both"/>
        <w:rPr>
          <w:rFonts w:cstheme="minorHAnsi"/>
          <w:b/>
          <w:sz w:val="24"/>
          <w:szCs w:val="24"/>
        </w:rPr>
      </w:pPr>
    </w:p>
    <w:p w:rsidR="007450EF" w:rsidRDefault="00EB0976">
      <w:pPr>
        <w:ind w:right="-42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2.2. Objekt sportske dvorane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Prizemlje škole je hodnikom povezano sa svlačionicama na lijevoj i desnoj strani hodnika prema sportskoj dvorani.</w:t>
      </w:r>
    </w:p>
    <w:p w:rsidR="007450EF" w:rsidRDefault="00EB0976">
      <w:pPr>
        <w:ind w:right="-421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Dvorana ima ured za</w:t>
      </w:r>
      <w:r>
        <w:rPr>
          <w:rFonts w:cstheme="minorHAnsi"/>
          <w:bCs/>
          <w:iCs/>
          <w:color w:val="000000"/>
          <w:sz w:val="24"/>
          <w:szCs w:val="24"/>
        </w:rPr>
        <w:t xml:space="preserve"> </w:t>
      </w:r>
      <w:r>
        <w:rPr>
          <w:rFonts w:cstheme="minorHAnsi"/>
          <w:bCs/>
          <w:iCs/>
          <w:color w:val="000000"/>
          <w:sz w:val="24"/>
          <w:szCs w:val="24"/>
        </w:rPr>
        <w:t>nastavnika tjelesne i zdravstvene kulture u kojoj se nalazi sportska oprema. Iz istog ureda postoje i ulazna vrata koja se ne koriste.</w:t>
      </w:r>
    </w:p>
    <w:p w:rsidR="007450EF" w:rsidRDefault="007450EF">
      <w:pPr>
        <w:ind w:right="-421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:rsidR="007450EF" w:rsidRDefault="007450EF">
      <w:pPr>
        <w:ind w:right="-421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:rsidR="007450EF" w:rsidRDefault="007450EF">
      <w:pPr>
        <w:ind w:right="-421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:rsidR="007450EF" w:rsidRDefault="007450EF">
      <w:pPr>
        <w:ind w:right="-421"/>
        <w:jc w:val="both"/>
        <w:rPr>
          <w:rFonts w:cstheme="minorHAnsi"/>
          <w:bCs/>
          <w:iCs/>
          <w:color w:val="000000"/>
          <w:sz w:val="24"/>
          <w:szCs w:val="24"/>
        </w:rPr>
      </w:pPr>
    </w:p>
    <w:p w:rsidR="007450EF" w:rsidRDefault="00EB0976">
      <w:pPr>
        <w:numPr>
          <w:ilvl w:val="0"/>
          <w:numId w:val="1"/>
        </w:numPr>
        <w:ind w:right="-421"/>
        <w:contextualSpacing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PODACI O POSTOJEĆEM SIGURNOSNOM STANJU – fizička sigurnost učenika i zaposlenika</w:t>
      </w:r>
    </w:p>
    <w:p w:rsidR="007450EF" w:rsidRDefault="007450EF">
      <w:pPr>
        <w:ind w:left="644" w:right="-421"/>
        <w:contextualSpacing/>
        <w:jc w:val="both"/>
        <w:rPr>
          <w:rFonts w:cstheme="minorHAnsi"/>
          <w:b/>
          <w:sz w:val="24"/>
          <w:szCs w:val="24"/>
          <w:lang w:val="en-US"/>
        </w:rPr>
      </w:pPr>
    </w:p>
    <w:tbl>
      <w:tblPr>
        <w:tblStyle w:val="Reetkatablice"/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842"/>
        <w:gridCol w:w="851"/>
        <w:gridCol w:w="1559"/>
        <w:gridCol w:w="1820"/>
      </w:tblGrid>
      <w:tr w:rsidR="007450EF">
        <w:tc>
          <w:tcPr>
            <w:tcW w:w="2268" w:type="dxa"/>
            <w:shd w:val="clear" w:color="auto" w:fill="BFBFBF"/>
          </w:tcPr>
          <w:p w:rsidR="007450EF" w:rsidRDefault="00EB0976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Potrebne mjere zaštite</w:t>
            </w:r>
          </w:p>
        </w:tc>
        <w:tc>
          <w:tcPr>
            <w:tcW w:w="1560" w:type="dxa"/>
            <w:shd w:val="clear" w:color="auto" w:fill="BFBFBF"/>
          </w:tcPr>
          <w:p w:rsidR="007450EF" w:rsidRDefault="00EB0976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Provodi li se predviđena mjere zaštite</w:t>
            </w:r>
          </w:p>
        </w:tc>
        <w:tc>
          <w:tcPr>
            <w:tcW w:w="1842" w:type="dxa"/>
            <w:shd w:val="clear" w:color="auto" w:fill="BFBFBF"/>
          </w:tcPr>
          <w:p w:rsidR="007450EF" w:rsidRDefault="00EB0976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Iznos potrebnih financijskih sredstava za realizaciju mjere</w:t>
            </w:r>
          </w:p>
        </w:tc>
        <w:tc>
          <w:tcPr>
            <w:tcW w:w="851" w:type="dxa"/>
            <w:shd w:val="clear" w:color="auto" w:fill="BFBFBF"/>
          </w:tcPr>
          <w:p w:rsidR="007450EF" w:rsidRDefault="00EB0976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Jesu li osigurana financijska sredstva</w:t>
            </w:r>
          </w:p>
        </w:tc>
        <w:tc>
          <w:tcPr>
            <w:tcW w:w="1559" w:type="dxa"/>
            <w:shd w:val="clear" w:color="auto" w:fill="BFBFBF"/>
          </w:tcPr>
          <w:p w:rsidR="007450EF" w:rsidRDefault="00EB0976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Tko osigurava financijska</w:t>
            </w:r>
          </w:p>
          <w:p w:rsidR="007450EF" w:rsidRDefault="00EB0976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sredstva</w:t>
            </w:r>
          </w:p>
        </w:tc>
        <w:tc>
          <w:tcPr>
            <w:tcW w:w="1820" w:type="dxa"/>
            <w:shd w:val="clear" w:color="auto" w:fill="BFBFBF"/>
          </w:tcPr>
          <w:p w:rsidR="007450EF" w:rsidRDefault="00EB0976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Napomena</w:t>
            </w: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Nadzor ulaza/izlaza </w:t>
            </w:r>
            <w:r>
              <w:rPr>
                <w:rFonts w:cstheme="minorHAnsi"/>
                <w:b/>
                <w:sz w:val="24"/>
                <w:szCs w:val="24"/>
              </w:rPr>
              <w:t>Objekt školske zgrade-glavna ulazna vrata</w:t>
            </w:r>
          </w:p>
        </w:tc>
        <w:tc>
          <w:tcPr>
            <w:tcW w:w="1560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Da, putem d</w:t>
            </w:r>
            <w:r>
              <w:rPr>
                <w:rFonts w:cstheme="minorHAnsi"/>
                <w:sz w:val="24"/>
                <w:szCs w:val="24"/>
              </w:rPr>
              <w:t>ežurnih radnika škole</w:t>
            </w:r>
          </w:p>
        </w:tc>
        <w:tc>
          <w:tcPr>
            <w:tcW w:w="1842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sklopu redovne plaće</w:t>
            </w: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559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Ministarstvo znanosti, obrazovanja i mladih</w:t>
            </w:r>
          </w:p>
        </w:tc>
        <w:tc>
          <w:tcPr>
            <w:tcW w:w="1820" w:type="dxa"/>
          </w:tcPr>
          <w:p w:rsidR="007450EF" w:rsidRDefault="00EB097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Privremeno se provodi u sklopu radne obveze</w:t>
            </w: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Objekt zgrade i dvorane – ostala ulazna vrata</w:t>
            </w:r>
          </w:p>
        </w:tc>
        <w:tc>
          <w:tcPr>
            <w:tcW w:w="1560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Vrata su uvijek zaključana i nema dežurnih radnika.</w:t>
            </w:r>
          </w:p>
        </w:tc>
        <w:tc>
          <w:tcPr>
            <w:tcW w:w="1842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Vrata su uvijek zaključana.</w:t>
            </w: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Zaključavanje svih ulaznih vrata u objektu školske zgrade</w:t>
            </w:r>
          </w:p>
        </w:tc>
        <w:tc>
          <w:tcPr>
            <w:tcW w:w="1560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842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Dežurni radnici i nastavnici koji su zaduženi za određene školske prostore.</w:t>
            </w: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Prilagodba ulaznih vrata – zamjena brava</w:t>
            </w:r>
          </w:p>
        </w:tc>
        <w:tc>
          <w:tcPr>
            <w:tcW w:w="1560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842" w:type="dxa"/>
          </w:tcPr>
          <w:p w:rsidR="007450EF" w:rsidRDefault="007450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200 eura</w:t>
            </w: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559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Materijalni troškovi Škole</w:t>
            </w:r>
          </w:p>
        </w:tc>
        <w:tc>
          <w:tcPr>
            <w:tcW w:w="1820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Zamijenjene brave na način da se ne mogu otvoriti izvana </w:t>
            </w: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Postavljanje zvona u međuprostoru na ulazu o objekt zgrade škole</w:t>
            </w:r>
          </w:p>
        </w:tc>
        <w:tc>
          <w:tcPr>
            <w:tcW w:w="1560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842" w:type="dxa"/>
          </w:tcPr>
          <w:p w:rsidR="007450EF" w:rsidRDefault="007450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559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Materijalni troškovi Škole</w:t>
            </w:r>
          </w:p>
        </w:tc>
        <w:tc>
          <w:tcPr>
            <w:tcW w:w="1820" w:type="dxa"/>
          </w:tcPr>
          <w:p w:rsidR="007450EF" w:rsidRDefault="007450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Centralni razglas za informiranje/video nadzor</w:t>
            </w:r>
          </w:p>
        </w:tc>
        <w:tc>
          <w:tcPr>
            <w:tcW w:w="1560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842" w:type="dxa"/>
          </w:tcPr>
          <w:p w:rsidR="007450EF" w:rsidRDefault="007450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559" w:type="dxa"/>
          </w:tcPr>
          <w:p w:rsidR="007450EF" w:rsidRDefault="007450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450EF" w:rsidRDefault="007450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Zaštitna ograda oko škole</w:t>
            </w:r>
          </w:p>
        </w:tc>
        <w:tc>
          <w:tcPr>
            <w:tcW w:w="1560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842" w:type="dxa"/>
          </w:tcPr>
          <w:p w:rsidR="007450EF" w:rsidRDefault="007450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559" w:type="dxa"/>
          </w:tcPr>
          <w:p w:rsidR="007450EF" w:rsidRDefault="007450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0" w:type="dxa"/>
          </w:tcPr>
          <w:p w:rsidR="007450EF" w:rsidRDefault="007450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Jesu li učenici upoznati s Protokolom MZOM?</w:t>
            </w:r>
          </w:p>
        </w:tc>
        <w:tc>
          <w:tcPr>
            <w:tcW w:w="1560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842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 satima razrednika i Vijeću učenika</w:t>
            </w: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Jesu li roditelji upoznati s protokolom MZOM?</w:t>
            </w:r>
          </w:p>
        </w:tc>
        <w:tc>
          <w:tcPr>
            <w:tcW w:w="1560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842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Vijeće roditelja i roditeljski sastanci</w:t>
            </w: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Jesu li radnici upoznati s Protokolom MZOM?</w:t>
            </w:r>
          </w:p>
        </w:tc>
        <w:tc>
          <w:tcPr>
            <w:tcW w:w="1560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842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Nastavničko vijeće i Skup radnika</w:t>
            </w: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Jesu li postavljeni brojevi žurnih službi na vidnim/dostupnim mjestima?</w:t>
            </w:r>
          </w:p>
        </w:tc>
        <w:tc>
          <w:tcPr>
            <w:tcW w:w="1560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842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Ulazna porta, oglasna ploča, uredi, učionice, zbornice</w:t>
            </w:r>
          </w:p>
        </w:tc>
      </w:tr>
      <w:tr w:rsidR="007450EF">
        <w:trPr>
          <w:trHeight w:val="976"/>
        </w:trPr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li propisan način ulaska roditelja i stranaka u Školu?</w:t>
            </w:r>
          </w:p>
        </w:tc>
        <w:tc>
          <w:tcPr>
            <w:tcW w:w="1560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 </w:t>
            </w:r>
          </w:p>
        </w:tc>
        <w:tc>
          <w:tcPr>
            <w:tcW w:w="1842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Propisano internim aktima Škole</w:t>
            </w:r>
          </w:p>
        </w:tc>
      </w:tr>
      <w:tr w:rsidR="007450EF">
        <w:tc>
          <w:tcPr>
            <w:tcW w:w="2268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Provodi li se dosljedno propisan način ulaska roditelja i stranaka u Školu?</w:t>
            </w:r>
          </w:p>
        </w:tc>
        <w:tc>
          <w:tcPr>
            <w:tcW w:w="1560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</w:t>
            </w:r>
          </w:p>
        </w:tc>
        <w:tc>
          <w:tcPr>
            <w:tcW w:w="1842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0EF" w:rsidRDefault="00EB097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7450EF" w:rsidRDefault="00EB0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cijelosti, bez iznimke</w:t>
            </w:r>
          </w:p>
        </w:tc>
      </w:tr>
    </w:tbl>
    <w:p w:rsidR="007450EF" w:rsidRDefault="007450EF">
      <w:pPr>
        <w:ind w:right="-421"/>
        <w:jc w:val="both"/>
        <w:rPr>
          <w:rFonts w:cstheme="minorHAnsi"/>
          <w:b/>
          <w:sz w:val="24"/>
          <w:szCs w:val="24"/>
        </w:rPr>
      </w:pPr>
    </w:p>
    <w:p w:rsidR="007450EF" w:rsidRDefault="00EB0976">
      <w:pPr>
        <w:ind w:right="-421"/>
        <w:contextualSpacing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3.1. </w:t>
      </w:r>
      <w:r>
        <w:rPr>
          <w:rFonts w:cstheme="minorHAnsi"/>
          <w:b/>
          <w:sz w:val="24"/>
          <w:szCs w:val="24"/>
          <w:lang w:val="en-US"/>
        </w:rPr>
        <w:t>Koji su rizici s obzirom na fizičku sigurnost i infrastrukturu?</w:t>
      </w:r>
    </w:p>
    <w:p w:rsidR="007450EF" w:rsidRDefault="007450EF">
      <w:pPr>
        <w:ind w:left="644" w:right="-421"/>
        <w:contextualSpacing/>
        <w:jc w:val="both"/>
        <w:rPr>
          <w:rFonts w:cstheme="minorHAnsi"/>
          <w:b/>
          <w:sz w:val="24"/>
          <w:szCs w:val="24"/>
          <w:lang w:val="en-US"/>
        </w:rPr>
      </w:pPr>
    </w:p>
    <w:p w:rsidR="007450EF" w:rsidRDefault="00EB0976">
      <w:pPr>
        <w:ind w:right="-421"/>
        <w:jc w:val="both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t>Fizička sigurnost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Ulazi i izlazi nisu osigurani od strane zaštitara jer se na ulaznim vratima nalaze spremačice i domar. Nedostaje nam osposobljena osoba na ulaznim vratima Škole koja bi jamč</w:t>
      </w:r>
      <w:r>
        <w:rPr>
          <w:rFonts w:cstheme="minorHAnsi"/>
          <w:sz w:val="24"/>
          <w:szCs w:val="24"/>
        </w:rPr>
        <w:t xml:space="preserve">ila veću razinu sigurnosti i zaštite za naše učenike i radnike. </w:t>
      </w:r>
      <w:r>
        <w:rPr>
          <w:rFonts w:cstheme="minorHAnsi"/>
          <w:b/>
          <w:sz w:val="24"/>
          <w:szCs w:val="24"/>
        </w:rPr>
        <w:t>Nitko od radnika nije educiran za poslove zaštite što predstavlja ugrozu sigurnosti učenika i zaposlenika.</w:t>
      </w:r>
      <w:r>
        <w:rPr>
          <w:rFonts w:cstheme="minorHAnsi"/>
          <w:sz w:val="24"/>
          <w:szCs w:val="24"/>
        </w:rPr>
        <w:t xml:space="preserve"> Škola nema videonadzor jer radi samo u jutarnjoj smjeni a glavni ulaz je uglavnom ost</w:t>
      </w:r>
      <w:r>
        <w:rPr>
          <w:rFonts w:cstheme="minorHAnsi"/>
          <w:sz w:val="24"/>
          <w:szCs w:val="24"/>
        </w:rPr>
        <w:t xml:space="preserve">akljen te se jasno vidi tko prilazi Školi. Škola ima ukupno pet (5) ulaza, od kojih je jedan (1) glavni ulaz u školsku zgradu (na sjevernoj strani zgrade). Sva ulazna vrata Škole imaju bravu koja onemogućuje izvana ulaz u Školu, a normalan izlaz iz Škole. </w:t>
      </w:r>
      <w:r>
        <w:rPr>
          <w:rFonts w:cstheme="minorHAnsi"/>
          <w:sz w:val="24"/>
          <w:szCs w:val="24"/>
        </w:rPr>
        <w:t>Glavna ulazna vrata Škole otvara dežurni radnik. Unatoč postavljanju jednostranih brava na ulaznim vratima gdje je onemogućen ulazak u zgradu škole ipak postoji mogućnost ulaska izvana uslijed ljudske greške koja nastane prilikom izlaska iz Škole kad se na</w:t>
      </w:r>
      <w:r>
        <w:rPr>
          <w:rFonts w:cstheme="minorHAnsi"/>
          <w:sz w:val="24"/>
          <w:szCs w:val="24"/>
        </w:rPr>
        <w:t>mjerno ili slučajno ne zatvore vrata (kontrola ulaza nije pokrivena uvijek od strane radnika koji obavljaju svoje druge zadaće).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Školsko dvorište nije ograđeno zaštitnom ogradom osim na sjevernoj strani zgrade na kojoj se nalazi živa ograda. Na južnoj stra</w:t>
      </w:r>
      <w:r>
        <w:rPr>
          <w:rFonts w:cstheme="minorHAnsi"/>
          <w:sz w:val="24"/>
          <w:szCs w:val="24"/>
        </w:rPr>
        <w:t xml:space="preserve">ni škole nalazi se požarni put kojim  prometuju vozila i školski autobusi. S Općinom Gračac, Gračac Čistoća d.o.o je dogovoreno da se skine znak- „zabrane prometa osim školskih autobusa“.  </w:t>
      </w:r>
      <w:r>
        <w:rPr>
          <w:rFonts w:cstheme="minorHAnsi"/>
          <w:b/>
          <w:sz w:val="24"/>
          <w:szCs w:val="24"/>
        </w:rPr>
        <w:t>Kako se uz put nalaze dvoja ulazna vrata (evakuacijska) u zgradu šk</w:t>
      </w:r>
      <w:r>
        <w:rPr>
          <w:rFonts w:cstheme="minorHAnsi"/>
          <w:b/>
          <w:sz w:val="24"/>
          <w:szCs w:val="24"/>
        </w:rPr>
        <w:t>ole, u slučaju opasnosti i evakuacije navedeno predstavlja rizik za sigurnost učenika i zaposlenika Škole.</w:t>
      </w:r>
      <w:r>
        <w:rPr>
          <w:rFonts w:cstheme="minorHAnsi"/>
          <w:sz w:val="24"/>
          <w:szCs w:val="24"/>
        </w:rPr>
        <w:t xml:space="preserve"> U planu je postaviti rampu i time zabraniti prilaz autima i autobusima.</w:t>
      </w:r>
    </w:p>
    <w:p w:rsidR="007450EF" w:rsidRDefault="00EB0976">
      <w:pPr>
        <w:ind w:right="-421"/>
        <w:jc w:val="both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lastRenderedPageBreak/>
        <w:t>Infrastruktura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Postojeći prozori, vrata i brave na ulazima u Školu su dovoljn</w:t>
      </w:r>
      <w:r>
        <w:rPr>
          <w:rFonts w:cstheme="minorHAnsi"/>
          <w:sz w:val="24"/>
          <w:szCs w:val="24"/>
        </w:rPr>
        <w:t xml:space="preserve">o kvalitetni i pružaju dostatnu sigurnost učenicima i radnicima Škole. 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Škola ima jasno označene evakuacijske izlaze sukladno propisima protupožarne zaštite te su provedene i potrebne edukacije zaposlenika i učenika.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Učionice su označene brojevima razredni</w:t>
      </w:r>
      <w:r>
        <w:rPr>
          <w:rFonts w:cstheme="minorHAnsi"/>
          <w:sz w:val="24"/>
          <w:szCs w:val="24"/>
        </w:rPr>
        <w:t>h odjela a uredi nazivima radnih mjesta kao i zbornica, knjižnica, radionice, arhiva, informatičke učionice ...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Sukladno propisima i zahtjevima zaštite na radu i protupožarne zaštite redovno provjeravamo električne sustave i alarmne uređaje te se periodičn</w:t>
      </w:r>
      <w:r>
        <w:rPr>
          <w:rFonts w:cstheme="minorHAnsi"/>
          <w:sz w:val="24"/>
          <w:szCs w:val="24"/>
        </w:rPr>
        <w:t xml:space="preserve">o provode vježbe evakuacije. 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Iako se redovno provode tehnički pregledi i servisi, postoji mogućnost kvarova na instalacijama i uređajima zbog starosti istih.</w:t>
      </w:r>
    </w:p>
    <w:p w:rsidR="007450EF" w:rsidRDefault="00EB0976">
      <w:pPr>
        <w:ind w:right="-421"/>
        <w:jc w:val="both"/>
        <w:rPr>
          <w:rFonts w:cstheme="minorHAnsi"/>
          <w:color w:val="C00000"/>
          <w:sz w:val="24"/>
          <w:szCs w:val="24"/>
        </w:rPr>
      </w:pPr>
      <w:r>
        <w:rPr>
          <w:rFonts w:cstheme="minorHAnsi"/>
          <w:sz w:val="24"/>
          <w:szCs w:val="24"/>
        </w:rPr>
        <w:t>Ormarići prve pomoći se redovito nadopunjuju te je imenovan nastavnik za pružanje prve pomoći.</w:t>
      </w:r>
      <w:r>
        <w:rPr>
          <w:rFonts w:cstheme="minorHAnsi"/>
          <w:color w:val="C00000"/>
          <w:sz w:val="24"/>
          <w:szCs w:val="24"/>
        </w:rPr>
        <w:t xml:space="preserve"> </w:t>
      </w:r>
    </w:p>
    <w:p w:rsidR="007450EF" w:rsidRDefault="00EB0976">
      <w:pPr>
        <w:ind w:right="-421"/>
        <w:jc w:val="both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t>K</w:t>
      </w:r>
      <w:r>
        <w:rPr>
          <w:rFonts w:cstheme="minorHAnsi"/>
          <w:i/>
          <w:sz w:val="24"/>
          <w:szCs w:val="24"/>
          <w:u w:val="single"/>
        </w:rPr>
        <w:t>omunikacija</w:t>
      </w:r>
    </w:p>
    <w:p w:rsidR="007450EF" w:rsidRDefault="00EB0976">
      <w:pPr>
        <w:ind w:right="-42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Ne postoji funkcionalan i testiran službeni sustav za obavještavanje zaposlenika i roditelja, osim uobičajenih komunikacijskih kanala (mail, mobitel...). Postoji usuglašen sustav obavještavanja policije i drugih žurnih službi (vatrogasci, hitna</w:t>
      </w:r>
      <w:r>
        <w:rPr>
          <w:rFonts w:cstheme="minorHAnsi"/>
          <w:sz w:val="24"/>
          <w:szCs w:val="24"/>
        </w:rPr>
        <w:t xml:space="preserve"> medicinska pomoć i sl.) na način da smo potrebne brojeve istakli na vidljivim mjestima te su svi radnici educirani da u svakom trenutku reagiraju pozivom na navedene brojeve. Komunikacija s roditeljima učenika se obavlja telefonski, e mailom, putem e dnev</w:t>
      </w:r>
      <w:r>
        <w:rPr>
          <w:rFonts w:cstheme="minorHAnsi"/>
          <w:sz w:val="24"/>
          <w:szCs w:val="24"/>
        </w:rPr>
        <w:t xml:space="preserve">nika te preko WhatsApp grupa koje imaju razrednici.  </w:t>
      </w:r>
      <w:r>
        <w:rPr>
          <w:rFonts w:cstheme="minorHAnsi"/>
          <w:b/>
          <w:sz w:val="24"/>
          <w:szCs w:val="24"/>
        </w:rPr>
        <w:t xml:space="preserve">Zgrada škole nema centralni razglas za informiranje. 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Srednja škola Gračac redovito održava sastanke s lokalnom policijskom postajom sukladno Sporazumu o međuresornoj suradnji i koordinaciji u području s</w:t>
      </w:r>
      <w:r>
        <w:rPr>
          <w:rFonts w:cstheme="minorHAnsi"/>
          <w:sz w:val="24"/>
          <w:szCs w:val="24"/>
        </w:rPr>
        <w:t>prečavanja nasilja i drugih ugrožavajućih ponašanja na lokalnoj razini zajedno i s predstavnicima Općine, Socijalne skrbi, Vrtića, OŠ...</w:t>
      </w:r>
    </w:p>
    <w:p w:rsidR="007450EF" w:rsidRDefault="00EB0976">
      <w:pPr>
        <w:spacing w:before="100" w:beforeAutospacing="1" w:line="240" w:lineRule="auto"/>
        <w:jc w:val="both"/>
        <w:rPr>
          <w:rFonts w:cstheme="minorHAnsi"/>
          <w:i/>
          <w:sz w:val="24"/>
          <w:szCs w:val="24"/>
          <w:u w:val="single"/>
          <w:lang w:val="en-US"/>
        </w:rPr>
      </w:pPr>
      <w:r>
        <w:rPr>
          <w:rFonts w:cstheme="minorHAnsi"/>
          <w:i/>
          <w:sz w:val="24"/>
          <w:szCs w:val="24"/>
          <w:u w:val="single"/>
          <w:lang w:val="en-US"/>
        </w:rPr>
        <w:t>Sigurnost u digitalnom okruženju i cyber prijetnje:</w:t>
      </w:r>
    </w:p>
    <w:p w:rsidR="007450EF" w:rsidRDefault="00EB0976">
      <w:pPr>
        <w:pStyle w:val="Odlomakpopisa"/>
        <w:numPr>
          <w:ilvl w:val="0"/>
          <w:numId w:val="10"/>
        </w:numPr>
        <w:spacing w:line="278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>CARNet filteri</w:t>
      </w:r>
      <w:r>
        <w:rPr>
          <w:rFonts w:cstheme="minorHAnsi"/>
          <w:sz w:val="24"/>
          <w:szCs w:val="24"/>
          <w:lang w:val="en-US"/>
        </w:rPr>
        <w:t>: Blokiran je pristup neprimjerenim internetskim sadržajima putem školskih uređaja iako učenici mogu koristiti osobne mobilne uređaje za pristup neprimjerenim sadržajima.</w:t>
      </w:r>
    </w:p>
    <w:p w:rsidR="007450EF" w:rsidRDefault="00EB0976">
      <w:pPr>
        <w:pStyle w:val="Odlomakpopisa"/>
        <w:numPr>
          <w:ilvl w:val="0"/>
          <w:numId w:val="10"/>
        </w:numPr>
        <w:spacing w:line="278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>Zabrana korištenja mobitela</w:t>
      </w:r>
      <w:r>
        <w:rPr>
          <w:rFonts w:cstheme="minorHAnsi"/>
          <w:sz w:val="24"/>
          <w:szCs w:val="24"/>
          <w:lang w:val="en-US"/>
        </w:rPr>
        <w:t>: Učenicima nije dopušteno koristiti mobitele tijekom nast</w:t>
      </w:r>
      <w:r>
        <w:rPr>
          <w:rFonts w:cstheme="minorHAnsi"/>
          <w:sz w:val="24"/>
          <w:szCs w:val="24"/>
          <w:lang w:val="en-US"/>
        </w:rPr>
        <w:t xml:space="preserve">ave osim uz odobrenje nastavnika. Nedozvoljeno korištenje mobitela povlači pedagoške mjere. </w:t>
      </w:r>
    </w:p>
    <w:p w:rsidR="007450EF" w:rsidRDefault="00EB0976">
      <w:pPr>
        <w:pStyle w:val="Odlomakpopisa"/>
        <w:numPr>
          <w:ilvl w:val="0"/>
          <w:numId w:val="10"/>
        </w:numPr>
        <w:spacing w:line="278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Cs/>
          <w:sz w:val="24"/>
          <w:szCs w:val="24"/>
          <w:lang w:val="en-US"/>
        </w:rPr>
        <w:t>Edukacija o digitalnoj sigurnosti</w:t>
      </w:r>
      <w:r>
        <w:rPr>
          <w:rFonts w:cstheme="minorHAnsi"/>
          <w:sz w:val="24"/>
          <w:szCs w:val="24"/>
          <w:lang w:val="en-US"/>
        </w:rPr>
        <w:t>:  učenici se povremeno educiraju o odgovornom korištenju digitalnih tehnologija te izbjegavanju  digitalnog nasilja putem društve</w:t>
      </w:r>
      <w:r>
        <w:rPr>
          <w:rFonts w:cstheme="minorHAnsi"/>
          <w:sz w:val="24"/>
          <w:szCs w:val="24"/>
          <w:lang w:val="en-US"/>
        </w:rPr>
        <w:t xml:space="preserve">nih </w:t>
      </w:r>
      <w:r>
        <w:rPr>
          <w:rFonts w:cstheme="minorHAnsi"/>
          <w:sz w:val="24"/>
          <w:szCs w:val="24"/>
          <w:lang w:val="en-US"/>
        </w:rPr>
        <w:lastRenderedPageBreak/>
        <w:t xml:space="preserve">mreža uključujući vrijeđanje, prijetnje i širenje dezinformacija čije posljedice se onda odražavaju na njihovo mentalno zdravlje i ponašanje. </w:t>
      </w:r>
    </w:p>
    <w:p w:rsidR="007450EF" w:rsidRDefault="00EB0976">
      <w:pPr>
        <w:pStyle w:val="Odlomakpopisa"/>
        <w:numPr>
          <w:ilvl w:val="0"/>
          <w:numId w:val="10"/>
        </w:numPr>
        <w:spacing w:line="278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Roditelji nisu  dovoljno informirani o rizicima internetskog nasilja i sigurnosti djece na društvenim mrežama</w:t>
      </w:r>
      <w:r>
        <w:rPr>
          <w:rFonts w:cstheme="minorHAnsi"/>
          <w:sz w:val="24"/>
          <w:szCs w:val="24"/>
          <w:lang w:val="en-US"/>
        </w:rPr>
        <w:t>.</w:t>
      </w:r>
    </w:p>
    <w:p w:rsidR="007450EF" w:rsidRDefault="007450EF">
      <w:pPr>
        <w:spacing w:before="100" w:beforeAutospacing="1"/>
        <w:jc w:val="both"/>
        <w:outlineLvl w:val="3"/>
        <w:rPr>
          <w:rFonts w:cstheme="minorHAnsi"/>
          <w:b/>
          <w:bCs/>
          <w:sz w:val="24"/>
          <w:szCs w:val="24"/>
          <w:lang w:val="en-US"/>
        </w:rPr>
      </w:pPr>
    </w:p>
    <w:p w:rsidR="007450EF" w:rsidRDefault="00EB0976">
      <w:pPr>
        <w:spacing w:before="100" w:beforeAutospacing="1"/>
        <w:jc w:val="both"/>
        <w:outlineLvl w:val="3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3.2. Analiza rizika psihosocijalnih čimbenika antisocijalnog ponašanja učenika  </w:t>
      </w:r>
    </w:p>
    <w:p w:rsidR="007450EF" w:rsidRDefault="00EB0976">
      <w:pPr>
        <w:numPr>
          <w:ilvl w:val="0"/>
          <w:numId w:val="5"/>
        </w:numPr>
        <w:spacing w:before="100" w:beforeAutospacing="1"/>
        <w:contextualSpacing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  <w:u w:val="single"/>
          <w:lang w:val="en-US"/>
        </w:rPr>
        <w:t>Protokolom o postupanju u slučaju nasilja među djecom i mladima</w:t>
      </w:r>
      <w:r>
        <w:rPr>
          <w:rFonts w:cstheme="minorHAnsi"/>
          <w:sz w:val="24"/>
          <w:szCs w:val="24"/>
          <w:lang w:val="en-US"/>
        </w:rPr>
        <w:t xml:space="preserve"> unutar kojeg se nalazi </w:t>
      </w:r>
      <w:r>
        <w:rPr>
          <w:rFonts w:cstheme="minorHAnsi"/>
          <w:i/>
          <w:iCs/>
          <w:sz w:val="24"/>
          <w:szCs w:val="24"/>
          <w:u w:val="single"/>
          <w:lang w:val="en-US"/>
        </w:rPr>
        <w:t>Obrazac o prijavi nasilja</w:t>
      </w:r>
      <w:r>
        <w:rPr>
          <w:rFonts w:cstheme="minorHAnsi"/>
          <w:sz w:val="24"/>
          <w:szCs w:val="24"/>
          <w:lang w:val="en-US"/>
        </w:rPr>
        <w:t xml:space="preserve">, kao i </w:t>
      </w:r>
      <w:r>
        <w:rPr>
          <w:rFonts w:eastAsia="Times New Roman" w:cstheme="minorHAnsi"/>
          <w:bCs/>
          <w:i/>
          <w:sz w:val="24"/>
          <w:szCs w:val="24"/>
          <w:u w:val="single"/>
          <w:lang w:eastAsia="hr-HR"/>
        </w:rPr>
        <w:t>Pravilnikom o načinu postupanja odgojno-obrazovnih r</w:t>
      </w:r>
      <w:r>
        <w:rPr>
          <w:rFonts w:eastAsia="Times New Roman" w:cstheme="minorHAnsi"/>
          <w:bCs/>
          <w:i/>
          <w:sz w:val="24"/>
          <w:szCs w:val="24"/>
          <w:u w:val="single"/>
          <w:lang w:eastAsia="hr-HR"/>
        </w:rPr>
        <w:t>adnika školskih ustanova u poduzimanju mjera zaštite prava učenika te prijave svakog kršenja tih prava nadležnim tijelima</w:t>
      </w:r>
      <w:r>
        <w:rPr>
          <w:rFonts w:cstheme="minorHAnsi"/>
          <w:sz w:val="24"/>
          <w:szCs w:val="24"/>
        </w:rPr>
        <w:t xml:space="preserve"> propisane su mjere zaštite prava učenika kao i postupanje odgojno-obrazovnih radnika Škole u cilju prevencije i rješavanja vršnjačkog </w:t>
      </w:r>
      <w:r>
        <w:rPr>
          <w:rFonts w:cstheme="minorHAnsi"/>
          <w:sz w:val="24"/>
          <w:szCs w:val="24"/>
        </w:rPr>
        <w:t xml:space="preserve">sukoba, nasilnog ponašanja pojedinih učenika kao i ostalih oblika mogućih ugroza. </w:t>
      </w:r>
    </w:p>
    <w:p w:rsidR="007450EF" w:rsidRDefault="00EB0976">
      <w:pPr>
        <w:numPr>
          <w:ilvl w:val="0"/>
          <w:numId w:val="5"/>
        </w:numPr>
        <w:spacing w:before="100" w:beforeAutospacing="1"/>
        <w:contextualSpacing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Na početku nastavne godine, svi nastavnici, radnici Škole, učenici i roditelji se upoznaju sa spomenutim aktima.                                                             </w:t>
      </w:r>
      <w:r>
        <w:rPr>
          <w:rFonts w:cstheme="minorHAnsi"/>
          <w:sz w:val="24"/>
          <w:szCs w:val="24"/>
          <w:lang w:val="en-US"/>
        </w:rPr>
        <w:t xml:space="preserve">                         </w:t>
      </w:r>
    </w:p>
    <w:p w:rsidR="007450EF" w:rsidRDefault="00EB0976">
      <w:pPr>
        <w:numPr>
          <w:ilvl w:val="0"/>
          <w:numId w:val="5"/>
        </w:numPr>
        <w:spacing w:line="278" w:lineRule="auto"/>
        <w:contextualSpacing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Škola povremeno provodi preventivne programe i veoma su rijetki slučajevi verbalnog ili fizičkog nasilja među učenicima. </w:t>
      </w:r>
    </w:p>
    <w:p w:rsidR="007450EF" w:rsidRDefault="00EB0976">
      <w:pPr>
        <w:numPr>
          <w:ilvl w:val="0"/>
          <w:numId w:val="5"/>
        </w:numPr>
        <w:spacing w:before="100" w:before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Učenici su upoznati s mogućnostima prijavljivanja nasilja i dostupnim oblicima podrške.  </w:t>
      </w:r>
    </w:p>
    <w:p w:rsidR="007450EF" w:rsidRDefault="00EB0976">
      <w:pPr>
        <w:numPr>
          <w:ilvl w:val="0"/>
          <w:numId w:val="5"/>
        </w:numPr>
        <w:spacing w:before="100" w:beforeAutospacing="1" w:line="240" w:lineRule="auto"/>
        <w:contextualSpacing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Učenicima s rizičn</w:t>
      </w:r>
      <w:r>
        <w:rPr>
          <w:rFonts w:cstheme="minorHAnsi"/>
          <w:sz w:val="24"/>
          <w:szCs w:val="24"/>
          <w:lang w:val="en-US"/>
        </w:rPr>
        <w:t xml:space="preserve">im oblicima ponašanja, emocionalnim, psihičkim ili sličnim problemima se pruža psihološka pomoć pri ZJZ u Gračacu. Ističemo kako </w:t>
      </w:r>
      <w:r>
        <w:rPr>
          <w:rFonts w:cstheme="minorHAnsi"/>
          <w:b/>
          <w:sz w:val="24"/>
          <w:szCs w:val="24"/>
          <w:lang w:val="en-US"/>
        </w:rPr>
        <w:t xml:space="preserve">Škola nema zaposlenog psihologa </w:t>
      </w:r>
      <w:r>
        <w:rPr>
          <w:rFonts w:cstheme="minorHAnsi"/>
          <w:sz w:val="24"/>
          <w:szCs w:val="24"/>
          <w:lang w:val="en-US"/>
        </w:rPr>
        <w:t>te se učenici upućuju na spomenuti Zavod gdje psiholog dolazi iz Zadra u Gračac samo jednom u d</w:t>
      </w:r>
      <w:r>
        <w:rPr>
          <w:rFonts w:cstheme="minorHAnsi"/>
          <w:sz w:val="24"/>
          <w:szCs w:val="24"/>
          <w:lang w:val="en-US"/>
        </w:rPr>
        <w:t>va tjedna što nije dostatno za potrebe naših učenika.</w:t>
      </w:r>
    </w:p>
    <w:p w:rsidR="007450EF" w:rsidRDefault="00EB0976">
      <w:pPr>
        <w:numPr>
          <w:ilvl w:val="0"/>
          <w:numId w:val="5"/>
        </w:numPr>
        <w:spacing w:line="240" w:lineRule="auto"/>
        <w:contextualSpacing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Činjenica je da </w:t>
      </w:r>
      <w:r>
        <w:rPr>
          <w:rFonts w:cstheme="minorHAnsi"/>
          <w:b/>
          <w:sz w:val="24"/>
          <w:szCs w:val="24"/>
          <w:lang w:val="en-US"/>
        </w:rPr>
        <w:t xml:space="preserve">nastavnici i drugi radnici škole nisu dovoljno educirani za prepoznavanje eventualnih rizičnih ponašanja učenika i indikatora koji ukazuju na moguće prijetnje . </w:t>
      </w:r>
    </w:p>
    <w:p w:rsidR="007450EF" w:rsidRDefault="007450EF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7450EF" w:rsidRDefault="007450EF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7450EF" w:rsidRDefault="00EB0976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3.3. Osjetljive točke </w:t>
      </w:r>
      <w:r>
        <w:rPr>
          <w:rFonts w:cstheme="minorHAnsi"/>
          <w:b/>
          <w:sz w:val="24"/>
          <w:szCs w:val="24"/>
          <w:lang w:val="en-US"/>
        </w:rPr>
        <w:t>obzirom na suradnju s Osnivačem Škole, lokalnim vlastima, sigurnosnim i žurnim službama...</w:t>
      </w:r>
    </w:p>
    <w:p w:rsidR="007450EF" w:rsidRDefault="00EB0976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  <w:lang w:val="en-US"/>
        </w:rPr>
        <w:t>Zadarska županija</w:t>
      </w:r>
      <w:r>
        <w:rPr>
          <w:rFonts w:cstheme="minorHAnsi"/>
          <w:sz w:val="24"/>
          <w:szCs w:val="24"/>
          <w:lang w:val="en-US"/>
        </w:rPr>
        <w:t xml:space="preserve"> kroz decentralizirana sredstva pomaže u nabavi opreme i tehnologije potrebne za povećanje sigurnosti rada u školama.  SŠ Gračac je zatražila ponude</w:t>
      </w:r>
      <w:r>
        <w:rPr>
          <w:rFonts w:cstheme="minorHAnsi"/>
          <w:sz w:val="24"/>
          <w:szCs w:val="24"/>
          <w:lang w:val="en-US"/>
        </w:rPr>
        <w:t xml:space="preserve"> od ovlaštenih osoba za izradu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procjena postojećeg stanja i analizu rizika te smo istu dostavili osnivaču s upitom o načinu financiranja izrade. Nismo dobili odgovor. Izradu postojećeg stanja </w:t>
      </w:r>
      <w:r>
        <w:rPr>
          <w:rFonts w:cstheme="minorHAnsi"/>
          <w:sz w:val="24"/>
          <w:szCs w:val="24"/>
          <w:lang w:val="en-US"/>
        </w:rPr>
        <w:t xml:space="preserve"> Škole i analizu rizika izradila je Ravnateljica koja nema potrebne stručne kompetencije.                                                                           U okviru svojih mogućnosti, iako Osnivač brine o mjerama kojima možemo unaprijediti sigurnos</w:t>
      </w:r>
      <w:r>
        <w:rPr>
          <w:rFonts w:cstheme="minorHAnsi"/>
          <w:sz w:val="24"/>
          <w:szCs w:val="24"/>
          <w:lang w:val="en-US"/>
        </w:rPr>
        <w:t xml:space="preserve">nu infrastrukturu, sigurno bi se trebao više uključiti.  Činjenica je da </w:t>
      </w:r>
      <w:r>
        <w:rPr>
          <w:rFonts w:cstheme="minorHAnsi"/>
          <w:b/>
          <w:sz w:val="24"/>
          <w:szCs w:val="24"/>
          <w:lang w:val="en-US"/>
        </w:rPr>
        <w:t>nam nedostaje stručna osoba</w:t>
      </w:r>
      <w:r>
        <w:rPr>
          <w:rFonts w:cstheme="minorHAnsi"/>
          <w:sz w:val="24"/>
          <w:szCs w:val="24"/>
          <w:lang w:val="en-US"/>
        </w:rPr>
        <w:t xml:space="preserve"> na ulaznim vratima Škole koja bi se bavila poslovima vezanima za sigurnost. Za  prijelazno razdoblje dok nam resorno Ministarstvo ne odobri zapošljavanje Z</w:t>
      </w:r>
      <w:r>
        <w:rPr>
          <w:rFonts w:cstheme="minorHAnsi"/>
          <w:sz w:val="24"/>
          <w:szCs w:val="24"/>
          <w:lang w:val="en-US"/>
        </w:rPr>
        <w:t xml:space="preserve">aštitara, bilo bi dobro da ga Osnivač financira.                                                                                                                                                                      </w:t>
      </w:r>
    </w:p>
    <w:p w:rsidR="007450EF" w:rsidRDefault="00EB0976">
      <w:pPr>
        <w:spacing w:before="100" w:beforeAutospacing="1" w:line="240" w:lineRule="auto"/>
        <w:jc w:val="both"/>
        <w:rPr>
          <w:rFonts w:cstheme="minorHAnsi"/>
          <w:bCs/>
          <w:sz w:val="24"/>
          <w:szCs w:val="24"/>
          <w:lang w:val="en-US"/>
        </w:rPr>
      </w:pPr>
      <w:r>
        <w:rPr>
          <w:rFonts w:cstheme="minorHAnsi"/>
          <w:b/>
          <w:bCs/>
          <w:i/>
          <w:sz w:val="24"/>
          <w:szCs w:val="24"/>
          <w:lang w:val="en-US"/>
        </w:rPr>
        <w:lastRenderedPageBreak/>
        <w:t>Između PP Gračac, Odjela za maloljetničku</w:t>
      </w:r>
      <w:r>
        <w:rPr>
          <w:rFonts w:cstheme="minorHAnsi"/>
          <w:b/>
          <w:bCs/>
          <w:i/>
          <w:sz w:val="24"/>
          <w:szCs w:val="24"/>
          <w:lang w:val="en-US"/>
        </w:rPr>
        <w:t xml:space="preserve"> delikvenciju</w:t>
      </w:r>
      <w:r>
        <w:rPr>
          <w:rFonts w:cstheme="minorHAnsi"/>
          <w:bCs/>
          <w:sz w:val="24"/>
          <w:szCs w:val="24"/>
          <w:lang w:val="en-US"/>
        </w:rPr>
        <w:t xml:space="preserve"> i  naše Škole, postoji dobra suradnja kako na prevenciji neželjenih oblika ponašanja naših učenika tako i na brzoj reakciji s njihove strane u slučaju da se dogodi incidentna situacija.  Redovito se održavaju koordinacijski sastanci s lokalno</w:t>
      </w:r>
      <w:r>
        <w:rPr>
          <w:rFonts w:cstheme="minorHAnsi"/>
          <w:bCs/>
          <w:sz w:val="24"/>
          <w:szCs w:val="24"/>
          <w:lang w:val="en-US"/>
        </w:rPr>
        <w:t>m policijskom postajom u Gračacu na kojima sudjeluju i predstavnici općine, Vrtića, OŠ, SŠ, Zavoda za socijalnu skrb, medicinsku skrb... Suradnja omogućuje pravodobno prepoznavanje potencijalnih sigurnosnih rizika kao i rješavanje specifičnih izazova. Na t</w:t>
      </w:r>
      <w:r>
        <w:rPr>
          <w:rFonts w:cstheme="minorHAnsi"/>
          <w:bCs/>
          <w:sz w:val="24"/>
          <w:szCs w:val="24"/>
          <w:lang w:val="en-US"/>
        </w:rPr>
        <w:t xml:space="preserve">aj način koordiniramo na području sprečavanja nasilja i drugih ugrožavajućih ponašanja na lokalnoj razini.  Učestalije su ophodnje policije na područjima gdje se nalaze OŠ, SŠ i Vrtić u vrijeme održavanja nastave učenicima kao i za vrijeme boravka djece u </w:t>
      </w:r>
      <w:r>
        <w:rPr>
          <w:rFonts w:cstheme="minorHAnsi"/>
          <w:bCs/>
          <w:sz w:val="24"/>
          <w:szCs w:val="24"/>
          <w:lang w:val="en-US"/>
        </w:rPr>
        <w:t>vrtiću.                                                                                                                                                                                                                    Policijske stručnjake za prevenciju k</w:t>
      </w:r>
      <w:r>
        <w:rPr>
          <w:rFonts w:cstheme="minorHAnsi"/>
          <w:bCs/>
          <w:sz w:val="24"/>
          <w:szCs w:val="24"/>
          <w:lang w:val="en-US"/>
        </w:rPr>
        <w:t xml:space="preserve">riminaliteta smo konzultirali u izradi Procjene te su nam dali i određene smjernice u prepoznavanju  potencijalno rizičnih čimbenika i osoba.                                                                                                                   </w:t>
      </w:r>
      <w:r>
        <w:rPr>
          <w:rFonts w:cstheme="minorHAnsi"/>
          <w:bCs/>
          <w:sz w:val="24"/>
          <w:szCs w:val="24"/>
          <w:lang w:val="en-US"/>
        </w:rPr>
        <w:t xml:space="preserve">                                          Za vrijeme posljednjeg dana nastave učenika završnih razreda, obvezno se poziva policija radi uspostavljanja reda i mira koji narušavaju maturanti konzumirajući alkohol te oštećuju ili uništavaju imovinu Škole. Pos</w:t>
      </w:r>
      <w:r>
        <w:rPr>
          <w:rFonts w:cstheme="minorHAnsi"/>
          <w:bCs/>
          <w:sz w:val="24"/>
          <w:szCs w:val="24"/>
          <w:lang w:val="en-US"/>
        </w:rPr>
        <w:t>ljednjih godina primjećeno je da učenici manje piju alkohol te nisu skloni izazivanju većih ekscesa.</w:t>
      </w:r>
    </w:p>
    <w:p w:rsidR="007450EF" w:rsidRDefault="00EB0976">
      <w:pPr>
        <w:spacing w:before="100" w:beforeAutospacing="1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Zadovoljavajuća je suradnja s </w:t>
      </w:r>
      <w:r>
        <w:rPr>
          <w:rFonts w:cstheme="minorHAnsi"/>
          <w:b/>
          <w:i/>
          <w:sz w:val="24"/>
          <w:szCs w:val="24"/>
          <w:lang w:val="en-US"/>
        </w:rPr>
        <w:t>lokalnom Civilnom zaštitom</w:t>
      </w:r>
      <w:r>
        <w:rPr>
          <w:rFonts w:cstheme="minorHAnsi"/>
          <w:sz w:val="24"/>
          <w:szCs w:val="24"/>
          <w:lang w:val="en-US"/>
        </w:rPr>
        <w:t>. Uslijed nedavnih poplava  brzom</w:t>
      </w:r>
      <w:r>
        <w:rPr>
          <w:rFonts w:cstheme="minorHAnsi"/>
          <w:sz w:val="24"/>
          <w:szCs w:val="24"/>
          <w:lang w:val="en-US"/>
        </w:rPr>
        <w:t xml:space="preserve"> komunikacijom se uspostavio način zbrinjavanja i prijevoz učenika do njihovih domova na poplavljenom području. Naši učenici redovno pomažu kod takvih ugrožavajućih situacija. U slučaju neprohodnih cesta od unutrašnjosti Hrvatske prema Dalmaciji (zimi zbog</w:t>
      </w:r>
      <w:r>
        <w:rPr>
          <w:rFonts w:cstheme="minorHAnsi"/>
          <w:sz w:val="24"/>
          <w:szCs w:val="24"/>
          <w:lang w:val="en-US"/>
        </w:rPr>
        <w:t xml:space="preserve"> snijega) u suradnji sa Civilnom zaštitom naša Škola često postaje mjesto za prenoćište i zbrinjavanje putnika. O brizi i njezi putnika sudjeluju zaposlenici Škole. Učestala je suradnja s Civilnom zaštitom kod skupljanja pomoći socijalno ugroženim osobama </w:t>
      </w:r>
      <w:r>
        <w:rPr>
          <w:rFonts w:cstheme="minorHAnsi"/>
          <w:sz w:val="24"/>
          <w:szCs w:val="24"/>
          <w:lang w:val="en-US"/>
        </w:rPr>
        <w:t>na području Općine Gračac kao i starim i nemoćnim osobama.</w:t>
      </w:r>
    </w:p>
    <w:p w:rsidR="007450EF" w:rsidRDefault="00EB0976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Nadležne inspekcije kontinuirano kontroliraju </w:t>
      </w:r>
      <w:r>
        <w:rPr>
          <w:rFonts w:cstheme="minorHAnsi"/>
          <w:b/>
          <w:bCs/>
          <w:i/>
          <w:sz w:val="24"/>
          <w:szCs w:val="24"/>
          <w:lang w:val="en-US"/>
        </w:rPr>
        <w:t>protupožarnu</w:t>
      </w:r>
      <w:r>
        <w:rPr>
          <w:rFonts w:cstheme="minorHAnsi"/>
          <w:b/>
          <w:bCs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školsku infrastrukturu kako bi se identificirali potencijalni izvori opasnosti od požara a lokalne vatrogasne postrojbe sudjeluju u situac</w:t>
      </w:r>
      <w:r>
        <w:rPr>
          <w:rFonts w:cstheme="minorHAnsi"/>
          <w:sz w:val="24"/>
          <w:szCs w:val="24"/>
          <w:lang w:val="en-US"/>
        </w:rPr>
        <w:t>ijama kad provodimo vježbe evakuacije zbog požara.                                                                                 Zgrada Škole ima osiguran pristup vatrogasnim vozilima koji sa sjeverne strane zna biti zakrčen parkiranim automobilima. Od p</w:t>
      </w:r>
      <w:r>
        <w:rPr>
          <w:rFonts w:cstheme="minorHAnsi"/>
          <w:sz w:val="24"/>
          <w:szCs w:val="24"/>
          <w:lang w:val="en-US"/>
        </w:rPr>
        <w:t>rije nekoliko godina postoje i vanjski hidranti. Sukladno zakonskim obvezama postoje procedure za slučaj požara, plan evakuacije koji se nalazi unutar školske zgrade. Radnici Škole osposobljeni su za korištenje vatrogasnih aparata i postupanje u hitnim sit</w:t>
      </w:r>
      <w:r>
        <w:rPr>
          <w:rFonts w:cstheme="minorHAnsi"/>
          <w:sz w:val="24"/>
          <w:szCs w:val="24"/>
          <w:lang w:val="en-US"/>
        </w:rPr>
        <w:t xml:space="preserve">uacijama vezanim za požare.                                                                                                                       </w:t>
      </w:r>
    </w:p>
    <w:p w:rsidR="007450EF" w:rsidRDefault="00EB0976">
      <w:pPr>
        <w:tabs>
          <w:tab w:val="left" w:pos="5472"/>
        </w:tabs>
        <w:spacing w:before="100" w:beforeAutospacing="1"/>
        <w:jc w:val="both"/>
        <w:outlineLvl w:val="3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 xml:space="preserve">S </w:t>
      </w:r>
      <w:r>
        <w:rPr>
          <w:rFonts w:cstheme="minorHAnsi"/>
          <w:b/>
          <w:i/>
          <w:sz w:val="24"/>
          <w:szCs w:val="24"/>
          <w:lang w:val="en-US"/>
        </w:rPr>
        <w:t>lokalnim hitnim medicinskim službama</w:t>
      </w:r>
      <w:r>
        <w:rPr>
          <w:rFonts w:cstheme="minorHAnsi"/>
          <w:sz w:val="24"/>
          <w:szCs w:val="24"/>
          <w:lang w:val="en-US"/>
        </w:rPr>
        <w:t xml:space="preserve"> nemamo posebni komunikacijski kanal već koristimo broj 112 ili 194  ko</w:t>
      </w:r>
      <w:r>
        <w:rPr>
          <w:rFonts w:cstheme="minorHAnsi"/>
          <w:sz w:val="24"/>
          <w:szCs w:val="24"/>
          <w:lang w:val="en-US"/>
        </w:rPr>
        <w:t>ji zovemo u slučaju potrebe. Pristup vozilima hitnih službi je osiguran do samog ulaza u školsku zgradu. Napominjemo da se zgrade hitne pomoći, vatrogasne službe, policijska uprava nalaze u krugu od stotinjak metara udaljene od same zgrade Škole što osigur</w:t>
      </w:r>
      <w:r>
        <w:rPr>
          <w:rFonts w:cstheme="minorHAnsi"/>
          <w:sz w:val="24"/>
          <w:szCs w:val="24"/>
          <w:lang w:val="en-US"/>
        </w:rPr>
        <w:t xml:space="preserve">ava brzu intervenciju i dolazak istih u slučaju ugrožavajućih situacija. 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 </w:t>
      </w:r>
      <w:r>
        <w:rPr>
          <w:rFonts w:cstheme="minorHAnsi"/>
          <w:b/>
          <w:i/>
          <w:sz w:val="24"/>
          <w:szCs w:val="24"/>
        </w:rPr>
        <w:t>Hrvatskim zavodom za socijalni rad</w:t>
      </w:r>
      <w:r>
        <w:rPr>
          <w:rFonts w:cstheme="minorHAnsi"/>
          <w:i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podružnica u Gračacu, imamo redovitu komunikaciju. Uglavnom se radi o razmjeni podataka vezanih za učenike koji su u tretmanu zavoda za socijaln</w:t>
      </w:r>
      <w:r>
        <w:rPr>
          <w:rFonts w:cstheme="minorHAnsi"/>
          <w:sz w:val="24"/>
          <w:szCs w:val="24"/>
        </w:rPr>
        <w:t xml:space="preserve">i rad (uspjeh u školi, suradnja s roditeljima, da li je učenik u tretmanu stručne službe i sl.). Također, ukoliko </w:t>
      </w:r>
      <w:r>
        <w:rPr>
          <w:rFonts w:cstheme="minorHAnsi"/>
          <w:sz w:val="24"/>
          <w:szCs w:val="24"/>
        </w:rPr>
        <w:lastRenderedPageBreak/>
        <w:t xml:space="preserve">Razredno vijeće ili stručna služba primijete da postoje problemi u ponašanju i/ili obiteljski problemi i/ili ne ispunjavanje školskih obveza, </w:t>
      </w:r>
      <w:r>
        <w:rPr>
          <w:rFonts w:cstheme="minorHAnsi"/>
          <w:sz w:val="24"/>
          <w:szCs w:val="24"/>
        </w:rPr>
        <w:t>Škola šalje dopis zavodu za socijalni rad s kratkim opisom problematične situacije na temelju čega Hrvatski zavod za socijalni rad dalje postupa ukoliko smatra potrebnim. Ukoliko se u Školi dogodi bilo koji oblik nasilnog ponašanja, o tome obavezno izvješt</w:t>
      </w:r>
      <w:r>
        <w:rPr>
          <w:rFonts w:cstheme="minorHAnsi"/>
          <w:sz w:val="24"/>
          <w:szCs w:val="24"/>
        </w:rPr>
        <w:t>avamo Zavod.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7450EF" w:rsidRDefault="00EB0976">
      <w:pPr>
        <w:spacing w:before="100" w:beforeAutospacing="1"/>
        <w:jc w:val="both"/>
        <w:outlineLvl w:val="3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en-US"/>
        </w:rPr>
        <w:t>3.4.  Sur</w:t>
      </w:r>
      <w:r>
        <w:rPr>
          <w:rFonts w:cstheme="minorHAnsi"/>
          <w:b/>
          <w:sz w:val="24"/>
          <w:szCs w:val="24"/>
          <w:lang w:val="en-US"/>
        </w:rPr>
        <w:t xml:space="preserve">adnja Škole </w:t>
      </w:r>
      <w:r>
        <w:rPr>
          <w:rFonts w:cstheme="minorHAnsi"/>
          <w:b/>
          <w:bCs/>
          <w:sz w:val="24"/>
          <w:szCs w:val="24"/>
          <w:lang w:val="en-US"/>
        </w:rPr>
        <w:t>s roditeljima učenika</w:t>
      </w:r>
    </w:p>
    <w:p w:rsidR="007450EF" w:rsidRDefault="00EB0976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Suradnja Škole s roditeljima učenika je zadovoljavajuća s obzirom na malen broj učenika. Putem roditeljskih sastanaka, informacijama za roditelje, sastanaka Vijeća roditelja, isti dobivaju sve potre</w:t>
      </w:r>
      <w:r>
        <w:rPr>
          <w:rFonts w:cstheme="minorHAnsi"/>
          <w:sz w:val="24"/>
          <w:szCs w:val="24"/>
          <w:lang w:val="en-US"/>
        </w:rPr>
        <w:t>bne informacije vezane uz sigurnost u Školi kao i uključivanje roditelja u sve aktivnosti Škole. Na ovim sastancima roditelji mogu svojim prijedlozima i savjetima doprinijeti izradi aktualnog Protokola o sigurnosti. Nedostaci su slab odaziv roditelja učeni</w:t>
      </w:r>
      <w:r>
        <w:rPr>
          <w:rFonts w:cstheme="minorHAnsi"/>
          <w:sz w:val="24"/>
          <w:szCs w:val="24"/>
          <w:lang w:val="en-US"/>
        </w:rPr>
        <w:t xml:space="preserve">ka na sastanke. </w:t>
      </w:r>
    </w:p>
    <w:p w:rsidR="007450EF" w:rsidRDefault="00EB0976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Razrednici imaju WhatsApp   grupe sa roditeljima učenika. Potrebne informacije dobivaju i putem Web stranice Škole kao i putem e dnevnika a dostupni su im i telefonski brojevi te elektronski kontakti razrednika, ravnateljice, stručne služb</w:t>
      </w:r>
      <w:r>
        <w:rPr>
          <w:rFonts w:cstheme="minorHAnsi"/>
          <w:sz w:val="24"/>
          <w:szCs w:val="24"/>
          <w:lang w:val="en-US"/>
        </w:rPr>
        <w:t xml:space="preserve">e, koje mogu kontaktirati u bilo koje vrijeme.         </w:t>
      </w:r>
    </w:p>
    <w:p w:rsidR="007450EF" w:rsidRDefault="00EB0976">
      <w:pPr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Poželjno bi bilo</w:t>
      </w:r>
      <w:r>
        <w:rPr>
          <w:rFonts w:cstheme="minorHAnsi"/>
          <w:b/>
          <w:sz w:val="24"/>
          <w:szCs w:val="24"/>
          <w:lang w:val="en-US"/>
        </w:rPr>
        <w:t xml:space="preserve"> uključiti roditelje u radionice i simulacije sigurnosnih procedura.                                                                                     </w:t>
      </w:r>
    </w:p>
    <w:p w:rsidR="007450EF" w:rsidRDefault="007450EF">
      <w:pPr>
        <w:ind w:right="-421"/>
        <w:jc w:val="both"/>
        <w:rPr>
          <w:rFonts w:cstheme="minorHAnsi"/>
          <w:b/>
          <w:bCs/>
          <w:iCs/>
          <w:color w:val="0070C0"/>
          <w:sz w:val="24"/>
          <w:szCs w:val="24"/>
          <w:u w:val="single"/>
        </w:rPr>
      </w:pPr>
    </w:p>
    <w:p w:rsidR="007450EF" w:rsidRDefault="00EB0976">
      <w:pPr>
        <w:pStyle w:val="Odlomakpopisa"/>
        <w:numPr>
          <w:ilvl w:val="0"/>
          <w:numId w:val="1"/>
        </w:numPr>
        <w:ind w:right="-421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RIZICI SIGURNOSTI U ŠKOLI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</w:rPr>
        <w:t>Škola nema zaposlenu</w:t>
      </w:r>
      <w:r>
        <w:rPr>
          <w:rFonts w:cstheme="minorHAnsi"/>
          <w:b/>
          <w:sz w:val="24"/>
          <w:szCs w:val="24"/>
          <w:lang w:val="en-US"/>
        </w:rPr>
        <w:t xml:space="preserve"> osposobljenu osobu na ulaznim vratima Škole</w:t>
      </w:r>
      <w:r>
        <w:rPr>
          <w:rFonts w:cstheme="minorHAnsi"/>
          <w:sz w:val="24"/>
          <w:szCs w:val="24"/>
          <w:lang w:val="en-US"/>
        </w:rPr>
        <w:t xml:space="preserve"> koja bi jamčila veću razinu sigurnosti i zaštite za naše učenike i radnike Škole. 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Nastavnici i drugi radnici nisu dovoljno educirani za prepoznavanje rizičnih ponašanja učenika</w:t>
      </w:r>
      <w:r>
        <w:rPr>
          <w:rFonts w:cstheme="minorHAnsi"/>
          <w:sz w:val="24"/>
          <w:szCs w:val="24"/>
          <w:lang w:val="en-US"/>
        </w:rPr>
        <w:t xml:space="preserve"> i indikatora </w:t>
      </w:r>
      <w:r>
        <w:rPr>
          <w:rFonts w:cstheme="minorHAnsi"/>
          <w:sz w:val="24"/>
          <w:szCs w:val="24"/>
          <w:lang w:val="en-US"/>
        </w:rPr>
        <w:t xml:space="preserve">koji ukazuju na moguće prijetnje. 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Dvorište školske zgrade nije u cijelosti fizički zatvoreno</w:t>
      </w:r>
      <w:r>
        <w:rPr>
          <w:rFonts w:cstheme="minorHAnsi"/>
          <w:sz w:val="24"/>
          <w:szCs w:val="24"/>
          <w:lang w:val="en-US"/>
        </w:rPr>
        <w:t>.</w:t>
      </w:r>
    </w:p>
    <w:p w:rsidR="007450EF" w:rsidRDefault="00EB0976">
      <w:pPr>
        <w:ind w:right="-421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Prometovanje školskih autobusa i osobnih vozila kroz dvorište Škole</w:t>
      </w:r>
      <w:r>
        <w:rPr>
          <w:rFonts w:cstheme="minorHAnsi"/>
          <w:sz w:val="24"/>
          <w:szCs w:val="24"/>
          <w:lang w:val="en-US"/>
        </w:rPr>
        <w:t xml:space="preserve"> (južna strana) </w:t>
      </w:r>
      <w:r>
        <w:rPr>
          <w:rFonts w:cstheme="minorHAnsi"/>
          <w:b/>
          <w:sz w:val="24"/>
          <w:szCs w:val="24"/>
          <w:lang w:val="en-US"/>
        </w:rPr>
        <w:t>ugrožava sigurnost učenika i zaposlenika.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Parkiranje automobila na sjevernoj s</w:t>
      </w:r>
      <w:r>
        <w:rPr>
          <w:rFonts w:cstheme="minorHAnsi"/>
          <w:b/>
          <w:sz w:val="24"/>
          <w:szCs w:val="24"/>
          <w:lang w:val="en-US"/>
        </w:rPr>
        <w:t>trani zgrade Škole uz glavni ulaz onemogućava prilaz vatrogasnim vozilima u slučaju požara.</w:t>
      </w:r>
    </w:p>
    <w:p w:rsidR="007450EF" w:rsidRDefault="00EB0976">
      <w:pPr>
        <w:ind w:right="-4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Sukladno postojećim sigurnosnim mjerama koje se provode u školi procjena je Sigurnosnog tima da je rizik neželjenih situacija u Školi sveden na minimum. Planom mjer</w:t>
      </w:r>
      <w:r>
        <w:rPr>
          <w:rFonts w:cstheme="minorHAnsi"/>
          <w:sz w:val="24"/>
          <w:szCs w:val="24"/>
        </w:rPr>
        <w:t>a sigurnosti i zaštite detaljno se trebaju utvrditi sigurnosne mjere koje će se provoditi, naročito one koje nedostaju.</w:t>
      </w:r>
    </w:p>
    <w:p w:rsidR="007450EF" w:rsidRDefault="007450EF">
      <w:pPr>
        <w:ind w:right="-421"/>
        <w:jc w:val="both"/>
        <w:rPr>
          <w:rFonts w:cstheme="minorHAnsi"/>
          <w:sz w:val="24"/>
          <w:szCs w:val="24"/>
        </w:rPr>
      </w:pPr>
    </w:p>
    <w:p w:rsidR="007450EF" w:rsidRDefault="007450EF">
      <w:pPr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7450EF" w:rsidRDefault="00EB0976">
      <w:pPr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lastRenderedPageBreak/>
        <w:t>ZAKLJUČAK</w:t>
      </w:r>
    </w:p>
    <w:p w:rsidR="007450EF" w:rsidRDefault="00EB0976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Srednja škola Gračac ulaže značajne napore u stvaranje sigurnog i poticajnog okruženja za učenike, nastavnike, ostale radnik</w:t>
      </w:r>
      <w:r>
        <w:rPr>
          <w:rFonts w:cstheme="minorHAnsi"/>
          <w:sz w:val="24"/>
          <w:szCs w:val="24"/>
          <w:lang w:val="en-US"/>
        </w:rPr>
        <w:t xml:space="preserve">e te posjetitelje. Provedena sigurnosna procjena pokazala je da škola već posjeduje visoko razvijen sustav zaštite, koji se temelji na jasnim pravilnicima, tehničkim rješenjima i organizacijskim mjerama. </w:t>
      </w:r>
    </w:p>
    <w:p w:rsidR="007450EF" w:rsidRDefault="00EB0976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Kontrola ulaska i izlaska osoba u zgradu Škole (zak</w:t>
      </w:r>
      <w:r>
        <w:rPr>
          <w:rFonts w:cstheme="minorHAnsi"/>
          <w:sz w:val="24"/>
          <w:szCs w:val="24"/>
          <w:lang w:val="en-US"/>
        </w:rPr>
        <w:t>ljučavanjem ulaznih vrata), zaštitne rešetke na prozorima u prizemlju Škole, redovite sigurnosne inspekcije zaštite na radu i protupožarne zaštite, osposobljavanje radnika za krizne situacije te suradnja i komunikacija sa sigurnosnim službama policijom i p</w:t>
      </w:r>
      <w:r>
        <w:rPr>
          <w:rFonts w:cstheme="minorHAnsi"/>
          <w:sz w:val="24"/>
          <w:szCs w:val="24"/>
          <w:lang w:val="en-US"/>
        </w:rPr>
        <w:t>rometnim redarstvom ključni su elementi postojećeg sustava koji osigurava visoku razinu zaštite.</w:t>
      </w:r>
    </w:p>
    <w:p w:rsidR="007450EF" w:rsidRDefault="00EB0976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Međutim, procjena analize rizika ukazala je na nekoliko područja koja zahtijevaju daljnja poboljšanja:</w:t>
      </w:r>
    </w:p>
    <w:p w:rsidR="007450EF" w:rsidRDefault="00EB0976">
      <w:pPr>
        <w:numPr>
          <w:ilvl w:val="0"/>
          <w:numId w:val="7"/>
        </w:numPr>
        <w:contextualSpacing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Unatoč postojećim mjerama zaštite, potrebno je i dalje jačanje kontrole pristupa školi, posebice kroz uvođenje video nadzora , alarmnog sustava, interkoma...</w:t>
      </w:r>
    </w:p>
    <w:p w:rsidR="007450EF" w:rsidRDefault="00EB0976">
      <w:pPr>
        <w:numPr>
          <w:ilvl w:val="0"/>
          <w:numId w:val="7"/>
        </w:numPr>
        <w:contextualSpacing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Vježbe evakuacije, iako se provode, potrebne su u većoj učestalosti kako bi se osigurala bolja pri</w:t>
      </w:r>
      <w:r>
        <w:rPr>
          <w:rFonts w:cstheme="minorHAnsi"/>
          <w:sz w:val="24"/>
          <w:szCs w:val="24"/>
          <w:lang w:val="en-US"/>
        </w:rPr>
        <w:t xml:space="preserve">premljenost učenika i radnika u slučaju  požara,  potresa ili napada. </w:t>
      </w:r>
    </w:p>
    <w:p w:rsidR="007450EF" w:rsidRDefault="00EB0976">
      <w:pPr>
        <w:numPr>
          <w:ilvl w:val="0"/>
          <w:numId w:val="7"/>
        </w:numPr>
        <w:contextualSpacing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Kontinuiran rad na prevenciji nasilja i vandalizma.</w:t>
      </w:r>
    </w:p>
    <w:p w:rsidR="007450EF" w:rsidRDefault="00EB0976">
      <w:pPr>
        <w:numPr>
          <w:ilvl w:val="0"/>
          <w:numId w:val="7"/>
        </w:numPr>
        <w:contextualSpacing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Za sigurnost u digitalnom okruženju potrebno je dodatno educirati učenike,                  roditelje i nastavnike te uspostaviti meh</w:t>
      </w:r>
      <w:r>
        <w:rPr>
          <w:rFonts w:cstheme="minorHAnsi"/>
          <w:sz w:val="24"/>
          <w:szCs w:val="24"/>
          <w:lang w:val="en-US"/>
        </w:rPr>
        <w:t xml:space="preserve">anizme za pravovremeno prepoznavanje i rješavanje digitalnih prijetnji. </w:t>
      </w:r>
    </w:p>
    <w:p w:rsidR="007450EF" w:rsidRDefault="00EB0976">
      <w:pPr>
        <w:numPr>
          <w:ilvl w:val="0"/>
          <w:numId w:val="7"/>
        </w:numPr>
        <w:contextualSpacing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Procjena rizika prometne sigurnosti učenika oko zgrade Škole pokazala se kao još jedno područje u kojem su nužne dodatne mjere (zaustavljanje prometovanja kroz dvorište zgrade Škole t</w:t>
      </w:r>
      <w:r>
        <w:rPr>
          <w:rFonts w:cstheme="minorHAnsi"/>
          <w:sz w:val="24"/>
          <w:szCs w:val="24"/>
          <w:lang w:val="en-US"/>
        </w:rPr>
        <w:t>e zabrana parkiranja automobila).</w:t>
      </w:r>
    </w:p>
    <w:p w:rsidR="007450EF" w:rsidRDefault="007450EF">
      <w:pPr>
        <w:ind w:firstLine="240"/>
        <w:jc w:val="both"/>
        <w:rPr>
          <w:rFonts w:cstheme="minorHAnsi"/>
          <w:sz w:val="24"/>
          <w:szCs w:val="24"/>
          <w:lang w:val="en-US"/>
        </w:rPr>
      </w:pPr>
    </w:p>
    <w:p w:rsidR="007450EF" w:rsidRDefault="00EB0976">
      <w:pPr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Kontinuirana evaluacija i unapređenje sigurnosnih mjera od ključne su važnosti za održavanje visokih standarda zaštite kako bi Škola bila mjesto u kojem bi se svi u konačnici osjećali sigurno i zaštićeno. Škola će redovito pratiti sve rizike te koristiti n</w:t>
      </w:r>
      <w:r>
        <w:rPr>
          <w:rFonts w:cstheme="minorHAnsi"/>
          <w:sz w:val="24"/>
          <w:szCs w:val="24"/>
          <w:lang w:val="en-US"/>
        </w:rPr>
        <w:t>ajučinkovitije strategije za njihovo smanjenje/otklanjanje.</w:t>
      </w:r>
    </w:p>
    <w:p w:rsidR="007450EF" w:rsidRDefault="007450EF">
      <w:pPr>
        <w:jc w:val="both"/>
        <w:rPr>
          <w:rFonts w:cstheme="minorHAnsi"/>
          <w:sz w:val="24"/>
          <w:szCs w:val="24"/>
          <w:lang w:val="en-US"/>
        </w:rPr>
      </w:pPr>
    </w:p>
    <w:p w:rsidR="007450EF" w:rsidRDefault="00EB0976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011-03/25-03/6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7450EF" w:rsidRDefault="00EB097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2198-1-70-25-2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7450EF" w:rsidRDefault="00EB0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7450EF" w:rsidRDefault="007450EF">
      <w:pPr>
        <w:jc w:val="both"/>
        <w:rPr>
          <w:rFonts w:cstheme="minorHAnsi"/>
          <w:sz w:val="24"/>
          <w:szCs w:val="24"/>
          <w:lang w:val="en-US"/>
        </w:rPr>
      </w:pPr>
    </w:p>
    <w:p w:rsidR="007450EF" w:rsidRDefault="007450EF">
      <w:pPr>
        <w:jc w:val="both"/>
        <w:rPr>
          <w:rFonts w:cstheme="minorHAnsi"/>
          <w:sz w:val="24"/>
          <w:szCs w:val="24"/>
        </w:rPr>
      </w:pPr>
    </w:p>
    <w:sectPr w:rsidR="007450EF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76" w:rsidRDefault="00EB0976">
      <w:pPr>
        <w:spacing w:after="0" w:line="240" w:lineRule="auto"/>
      </w:pPr>
      <w:r>
        <w:separator/>
      </w:r>
    </w:p>
  </w:endnote>
  <w:endnote w:type="continuationSeparator" w:id="0">
    <w:p w:rsidR="00EB0976" w:rsidRDefault="00EB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70382"/>
      <w:docPartObj>
        <w:docPartGallery w:val="Page Numbers (Bottom of Page)"/>
        <w:docPartUnique/>
      </w:docPartObj>
    </w:sdtPr>
    <w:sdtEndPr/>
    <w:sdtContent>
      <w:p w:rsidR="007450EF" w:rsidRDefault="00EB097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50EF" w:rsidRDefault="007450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76" w:rsidRDefault="00EB0976">
      <w:pPr>
        <w:spacing w:after="0" w:line="240" w:lineRule="auto"/>
      </w:pPr>
      <w:r>
        <w:separator/>
      </w:r>
    </w:p>
  </w:footnote>
  <w:footnote w:type="continuationSeparator" w:id="0">
    <w:p w:rsidR="00EB0976" w:rsidRDefault="00EB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768E"/>
    <w:multiLevelType w:val="multilevel"/>
    <w:tmpl w:val="49EE7B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BF61EEF"/>
    <w:multiLevelType w:val="multilevel"/>
    <w:tmpl w:val="68D6597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1E67"/>
    <w:multiLevelType w:val="multilevel"/>
    <w:tmpl w:val="BAAA9BD2"/>
    <w:lvl w:ilvl="0">
      <w:start w:val="1"/>
      <w:numFmt w:val="bullet"/>
      <w:lvlText w:val=""/>
      <w:lvlJc w:val="left"/>
      <w:pPr>
        <w:ind w:left="197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3" w15:restartNumberingAfterBreak="0">
    <w:nsid w:val="18B51169"/>
    <w:multiLevelType w:val="multilevel"/>
    <w:tmpl w:val="4E8A5CDA"/>
    <w:lvl w:ilvl="0">
      <w:start w:val="1"/>
      <w:numFmt w:val="bullet"/>
      <w:lvlText w:val=""/>
      <w:lvlJc w:val="left"/>
      <w:pPr>
        <w:ind w:left="197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4" w15:restartNumberingAfterBreak="0">
    <w:nsid w:val="1C9D79AA"/>
    <w:multiLevelType w:val="multilevel"/>
    <w:tmpl w:val="9D8461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4DB2"/>
    <w:multiLevelType w:val="multilevel"/>
    <w:tmpl w:val="3B20B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4E7D"/>
    <w:multiLevelType w:val="multilevel"/>
    <w:tmpl w:val="96001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901D9"/>
    <w:multiLevelType w:val="multilevel"/>
    <w:tmpl w:val="87BCB37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CA75554"/>
    <w:multiLevelType w:val="multilevel"/>
    <w:tmpl w:val="409CFB20"/>
    <w:lvl w:ilvl="0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5A1943B7"/>
    <w:multiLevelType w:val="multilevel"/>
    <w:tmpl w:val="BC84B6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0129C"/>
    <w:multiLevelType w:val="multilevel"/>
    <w:tmpl w:val="E28228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EF"/>
    <w:rsid w:val="007450EF"/>
    <w:rsid w:val="00EB0976"/>
    <w:rsid w:val="00E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FAD5F-9E9A-4C4C-80FF-D2F62FFF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gracac.skole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-gracac@ss-gracac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Marušić</dc:creator>
  <cp:keywords/>
  <dc:description/>
  <cp:lastModifiedBy>Ana Marušić</cp:lastModifiedBy>
  <cp:revision>2</cp:revision>
  <dcterms:created xsi:type="dcterms:W3CDTF">2025-04-16T12:21:00Z</dcterms:created>
  <dcterms:modified xsi:type="dcterms:W3CDTF">2025-04-16T12:21:00Z</dcterms:modified>
</cp:coreProperties>
</file>