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e02025c89451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23510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GRAČAC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691.131,57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710.559,36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684.865,65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764.483,25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53.923,89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1.260,41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55.184,30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Broj RKP-a: 23510</w:t>
      </w:r>
    </w:p>
    <w:p>
      <w:r>
        <w:t xml:space="preserve">Matični broj: 03312224 </w:t>
      </w:r>
    </w:p>
    <w:p>
      <w:r>
        <w:t xml:space="preserve">OIB:03363221827</w:t>
      </w:r>
    </w:p>
    <w:p>
      <w:r>
        <w:t xml:space="preserve">Naziv i adresa obveznika: Srednja škola Gračac, Školska 8, Gračac</w:t>
      </w:r>
    </w:p>
    <w:p>
      <w:r>
        <w:t xml:space="preserve">Oznaka razine: 31</w:t>
      </w:r>
    </w:p>
    <w:p>
      <w:r>
        <w:t xml:space="preserve">Šifra djelatnosti, razdjel: 8532, 0</w:t>
      </w:r>
    </w:p>
    <w:p>
      <w:r>
        <w:t xml:space="preserve">Šifra županije/grada/općine: 131</w:t>
      </w:r>
    </w:p>
    <w:p>
      <w:r>
        <w:t xml:space="preserve">Oznaka razdoblja: 2025-12</w:t>
      </w:r>
    </w:p>
    <w:p>
      <w:r>
        <w:t xml:space="preserve">Srednja škola Gračac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>
      <w:r>
        <w:t xml:space="preserve">Na sjednici školskog odbora od 30. siječnja 2024. godine donesena je Odluka o kriterijima utvrđivanja većih odstupanja od ostvarenja u izvještajnom razdoblju prethodne godine u bilješkama uz financijske izvještaje ( KLASA:007-04/24-02/1, URBROJ:2198-1-70-24-6) . Odlukom je utvrđeno da se pod većim odstupanjem podrazumijeva odstupanje od 10 % i više u odnosu na prethodnu godinu. Odstupanja koja su manja od 300,00 EUR-a  ne razmatraju se. Za sva odstupanja koja prelaze 7.000,00 EUR-a  potrebno je navesti razloge bez obzira na postotak odstupanja.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13,4</w:t>
            </w:r>
          </w:p>
        </w:tc>
      </w:tr>
    </w:tbl>
    <w:p>
      <w:pPr>
        <w:spacing w:before="0" w:after="0"/>
      </w:pPr>
    </w:p>
    <w:p>
      <w:r>
        <w:t xml:space="preserve">Do značajnijeg smanjenja u odnosu na prethodno izvještajno razdoblje došlo je zbog toga što je u prethodnoj godini Općina Gračac uplatila pomoć u iznosu od 3.373,20 EUR za kupnju udžbenika, a u 2025. godini 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r>
        <w:t xml:space="preserve">U 2025. godini je značajnije smanjen Prihod od pruženih usluga- najma dvorane jer je bio smanjen broj korisnika usluge kao i termina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483.195,59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540.727,56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Do značajnijeg povećanja Plaća u tekućem izvještajnom razdoblju je došlo zbog toga, što je zbog ukidanja konta 19311- Kontinuirani rashodi budućih razdoblja, u 2025. godini proknjiženo 13 plaća umjesto 12 kao u prethodnoj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68.802,49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89.067,04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</w:tbl>
    <w:p>
      <w:pPr>
        <w:spacing w:before="0" w:after="0"/>
      </w:pPr>
    </w:p>
    <w:p>
      <w:r>
        <w:t xml:space="preserve">Do značajnijeg povećanja Doprinosa za obvezno zdravstveno osiguranje u tekućem izvještajnom razdoblju je došlo zbog toga, što je zbog ukidanja konta 19311- Kontinuirani rashodi budućih razdoblja, u tekućem izvještajnom razdoblju proknjižen rashod za 13 mjeseci umjesto dosadašnjih 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r>
        <w:t xml:space="preserve">Razlog većeg povećanja u odnosu na prethodnu godinu je u tome jer je bio povećan odlazak zaposlenika na stručna vijeća i stručne skupove kao i terenske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Do većeg odstupanja u tekućem izvještajnom razdoblju je došlo zbog povećanih potreba za nastavnim materijalom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244,0</w:t>
            </w:r>
          </w:p>
        </w:tc>
      </w:tr>
    </w:tbl>
    <w:p>
      <w:pPr>
        <w:spacing w:before="0" w:after="0"/>
      </w:pPr>
    </w:p>
    <w:p>
      <w:r>
        <w:t xml:space="preserve">Do većeg odstupanja u tekućoj godini je došlo zbog ugovaranja najma za aplikaciju Digitalno uredsko poslovanje uz mjesečni najam u iznosu od 95,28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r>
        <w:t xml:space="preserve">Do povećanja u tekućem izvještajnom razdoblju je došlo zbog potrebe izrade procjene rizika kućne vodoopskrbne mreže.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241,5</w:t>
            </w:r>
          </w:p>
        </w:tc>
      </w:tr>
    </w:tbl>
    <w:p>
      <w:pPr>
        <w:spacing w:before="0" w:after="0"/>
      </w:pPr>
    </w:p>
    <w:p>
      <w:r>
        <w:t xml:space="preserve">Do značajnijeg povećanja Računalnih usluga u tekućem izvještajnom razdoblju je došlo zbog potrebe plaćanja nadogradnje 15 računala sa SSD diskom te instalacije operativnog sustava.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6.878,07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8.345,92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Razlog većeg odstupanja u odnosu na prethodnu godinu je u tome što je u 2025. godini došlo do povećanja prikupljenih donacija za organizaciju maturalne večere a samim time i do povećanja ovog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204,1</w:t>
            </w:r>
          </w:p>
        </w:tc>
      </w:tr>
    </w:tbl>
    <w:p>
      <w:pPr>
        <w:spacing w:before="0" w:after="0"/>
      </w:pPr>
    </w:p>
    <w:p>
      <w:r>
        <w:t xml:space="preserve">Do povećanja iskazane Premije osiguranja je došlo zbog toga što je iznos od 305,97 EUR iskazan i plaćen u 2025. godini ali se taj rashod odnosio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151,1</w:t>
            </w:r>
          </w:p>
        </w:tc>
      </w:tr>
    </w:tbl>
    <w:p>
      <w:pPr>
        <w:spacing w:before="0" w:after="0"/>
      </w:pPr>
    </w:p>
    <w:p>
      <w:r>
        <w:t xml:space="preserve">Razlog većeg povećanja u tekućem izvještajnom razdoblju je u tome što je naknada za nezapošljavanje invalida povećana sa 168,00 EUR u 2024. godini na 194,00 EUR u 2025. godini. Također je u 2025. godini knjiženo 13 naknada umjesto dosadašnjih 12 zbog ukidanja konta 19311-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manjak je metodološki jer ukidanjem konta 19311- Kontinuirani rashodi budućih razdoblja, Škola u 2025. godini ima iskazano 13 rashoda za plaće a 12 prihoda. Također su režijski troškovi iskazani za 13 mjeseci, a rashodi za 12.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10.869,05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61.676,20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567,4</w:t>
            </w:r>
          </w:p>
        </w:tc>
      </w:tr>
    </w:tbl>
    <w:p>
      <w:pPr>
        <w:spacing w:before="0" w:after="0"/>
      </w:pPr>
    </w:p>
    <w:p>
      <w:r>
        <w:t xml:space="preserve">Do značajnijeg povećanja u tekućem izvještajnom razdoblju došlo je zbog uvođenja novog konta 1636 - Potraživanja za pomoći proračunskim korisnicima iz proračuna koji im nije nadležan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-45.154,43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-450,2</w:t>
            </w:r>
          </w:p>
        </w:tc>
      </w:tr>
    </w:tbl>
    <w:p>
      <w:pPr>
        <w:spacing w:before="0" w:after="0"/>
      </w:pPr>
    </w:p>
    <w:p>
      <w:r>
        <w:t xml:space="preserve">Manjak prihoda je metodološki manjak nastao ukidanjem konta 19311 - Kontinuirani rashodi budućih razdoblja, te knjiženjem 13 rashoda za plaće i režijske troškove, a 12 prihoda.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690.339,95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767.768,66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Povećanje u tekućem izvještajnom razdoblju je uzrokovano što je u 2025. godini knjiženo 13 rashoda za plaće, naknada za prijevoz na posao i s posla i režijskih rashoda.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15.225,99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Iskazano smanjenje imovine se odnosi na ispravak vrijednosti dugotrajne nefinancijske imovine koje se prema članku 121. novog Pravilnika provodi preko promjena u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dan 31.12.2025.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u iznosu od 56.463,44 EUR se odnosi na: </w:t>
      </w:r>
    </w:p>
    <w:p>
      <w:pPr>
        <w:pStyle w:val="ListParagraph"/>
        <w:numPr>
          <w:ilvl w:val="0"/>
          <w:numId w:val="2"/>
        </w:numPr>
      </w:pPr>
      <w:r>
        <w:t xml:space="preserve">51.262,34 EUR za obveze za plaću za 12. mjesec 2025. koja dospijeva u siječnju 2026. godine</w:t>
      </w:r>
    </w:p>
    <w:p>
      <w:pPr>
        <w:pStyle w:val="ListParagraph"/>
        <w:numPr>
          <w:ilvl w:val="0"/>
          <w:numId w:val="2"/>
        </w:numPr>
      </w:pPr>
      <w:r>
        <w:t xml:space="preserve">4.787,67 EUR za obveze za materijalne rashode( naknada za prijevoz na posao za 12/2025, te električna energija, usluge telefona i pošte, komunalne usluge, pristojbe i naknade,intelektualne i računalne usluge za 12/2025 koja dospijevaju u siječnju 2026. godine.</w:t>
      </w:r>
    </w:p>
    <w:p>
      <w:pPr>
        <w:pStyle w:val="ListParagraph"/>
        <w:numPr>
          <w:ilvl w:val="0"/>
          <w:numId w:val="2"/>
        </w:numPr>
      </w:pPr>
      <w:r>
        <w:t xml:space="preserve">413,43 EUR za obveze za bolovanja na teret HZZO-a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555e451304ae5" /><Relationship Type="http://schemas.openxmlformats.org/officeDocument/2006/relationships/numbering" Target="/word/numbering.xml" Id="R5d2aff6b03364fa0" /></Relationships>
</file>